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9428E" w14:textId="312E1709" w:rsidR="000C7234" w:rsidRPr="000C7234" w:rsidRDefault="000C7234" w:rsidP="000C7234">
      <w:pPr>
        <w:rPr>
          <w:rFonts w:ascii="Calibri" w:hAnsi="Calibri" w:cs="Calibri"/>
          <w:b/>
          <w:bCs/>
          <w:color w:val="FFFFFF" w:themeColor="background1"/>
          <w:sz w:val="52"/>
          <w:szCs w:val="52"/>
          <w:lang w:val="fr-FR"/>
        </w:rPr>
      </w:pPr>
      <w:r>
        <w:rPr>
          <w:rFonts w:ascii="Calibri" w:hAnsi="Calibri" w:cs="Calibri"/>
          <w:b/>
          <w:bCs/>
          <w:noProof/>
          <w:lang w:val="en-US"/>
        </w:rPr>
        <w:drawing>
          <wp:anchor distT="0" distB="0" distL="114300" distR="114300" simplePos="0" relativeHeight="251659264" behindDoc="1" locked="0" layoutInCell="1" allowOverlap="1" wp14:anchorId="76EAEC97" wp14:editId="71467994">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7D3138DB">
          <v:rect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0C7234">
        <w:rPr>
          <w:rFonts w:ascii="Calibri" w:hAnsi="Calibri" w:cs="Calibri"/>
          <w:b/>
          <w:bCs/>
          <w:color w:val="FFFFFF" w:themeColor="background1"/>
          <w:sz w:val="52"/>
          <w:szCs w:val="52"/>
          <w:lang w:val="fr-FR"/>
        </w:rPr>
        <w:t xml:space="preserve">SUMMARY SHEETS : ARTICLE  15 ECHFR </w:t>
      </w:r>
    </w:p>
    <w:p w14:paraId="24BD8B2A" w14:textId="0E9E7DA2" w:rsidR="00664DF4" w:rsidRDefault="000C7234" w:rsidP="000C7234">
      <w:pPr>
        <w:pStyle w:val="Normlnweb"/>
        <w:ind w:right="521"/>
        <w:rPr>
          <w:rFonts w:ascii="Calibri" w:hAnsi="Calibri"/>
          <w:b/>
        </w:rPr>
      </w:pPr>
      <w:r>
        <w:rPr>
          <w:noProof/>
        </w:rPr>
        <w:pict w14:anchorId="2E6445D8">
          <v:roundrect id="Zone de texte 2" o:spid="_x0000_s1027" style="position:absolute;margin-left:-.15pt;margin-top:64.3pt;width:423.75pt;height:170.3pt;z-index:251662336;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" fillcolor="#deeaf6 [660]" strokecolor="#deeaf6 [660]">
            <v:stroke joinstyle="miter"/>
            <v:textbox style="mso-next-textbox:#Zone de texte 2;mso-fit-shape-to-text:t">
              <w:txbxContent>
                <w:p w14:paraId="0811BF77" w14:textId="2F791366" w:rsidR="00731803" w:rsidRDefault="00731803" w:rsidP="00731803">
                  <w:pPr>
                    <w:rPr>
                      <w:rFonts w:asciiTheme="majorHAnsi" w:hAnsiTheme="majorHAnsi" w:cstheme="majorHAnsi"/>
                      <w:b/>
                      <w:bCs/>
                      <w:i/>
                    </w:rPr>
                  </w:pPr>
                  <w:r>
                    <w:rPr>
                      <w:b/>
                      <w:i/>
                    </w:rPr>
                    <w:t>„</w:t>
                  </w:r>
                  <w:r w:rsidRPr="00731803">
                    <w:rPr>
                      <w:rFonts w:asciiTheme="majorHAnsi" w:hAnsiTheme="majorHAnsi" w:cstheme="majorHAnsi"/>
                      <w:b/>
                      <w:bCs/>
                      <w:i/>
                    </w:rPr>
                    <w:t>Právo svobodné volby povolání a právo pracovat</w:t>
                  </w:r>
                </w:p>
                <w:p w14:paraId="340114C4" w14:textId="77777777" w:rsidR="00731803" w:rsidRPr="00731803" w:rsidRDefault="00731803" w:rsidP="00731803">
                  <w:pPr>
                    <w:rPr>
                      <w:rFonts w:asciiTheme="majorHAnsi" w:hAnsiTheme="majorHAnsi" w:cstheme="majorHAnsi"/>
                      <w:b/>
                      <w:bCs/>
                      <w:i/>
                    </w:rPr>
                  </w:pPr>
                </w:p>
                <w:p w14:paraId="2BEADE25" w14:textId="77777777" w:rsidR="00731803" w:rsidRPr="00731803" w:rsidRDefault="00731803" w:rsidP="00731803">
                  <w:pPr>
                    <w:rPr>
                      <w:rFonts w:asciiTheme="majorHAnsi" w:hAnsiTheme="majorHAnsi" w:cstheme="majorHAnsi"/>
                      <w:bCs/>
                      <w:i/>
                    </w:rPr>
                  </w:pPr>
                  <w:r w:rsidRPr="00731803">
                    <w:rPr>
                      <w:rFonts w:asciiTheme="majorHAnsi" w:hAnsiTheme="majorHAnsi" w:cstheme="majorHAnsi"/>
                      <w:bCs/>
                      <w:i/>
                    </w:rPr>
                    <w:t>1.   Každý má právo pracovat a vykonávat svobodně zvolené nebo přijaté povolání.</w:t>
                  </w:r>
                </w:p>
                <w:p w14:paraId="6C5907D5" w14:textId="77777777" w:rsidR="00731803" w:rsidRPr="00731803" w:rsidRDefault="00731803" w:rsidP="00731803">
                  <w:pPr>
                    <w:rPr>
                      <w:rFonts w:asciiTheme="majorHAnsi" w:hAnsiTheme="majorHAnsi" w:cstheme="majorHAnsi"/>
                      <w:bCs/>
                      <w:i/>
                    </w:rPr>
                  </w:pPr>
                  <w:r w:rsidRPr="00731803">
                    <w:rPr>
                      <w:rFonts w:asciiTheme="majorHAnsi" w:hAnsiTheme="majorHAnsi" w:cstheme="majorHAnsi"/>
                      <w:bCs/>
                      <w:i/>
                    </w:rPr>
                    <w:t>2.   Každý občan Unie může svobodně hledat zaměstnání, pracovat, usadit se nebo poskytovat služby v kterémkoli členském státě.</w:t>
                  </w:r>
                </w:p>
                <w:p w14:paraId="2E8E60C7" w14:textId="31FA5721" w:rsidR="00731803" w:rsidRPr="00731803" w:rsidRDefault="00731803" w:rsidP="00731803">
                  <w:pPr>
                    <w:rPr>
                      <w:rFonts w:asciiTheme="majorHAnsi" w:hAnsiTheme="majorHAnsi" w:cstheme="majorHAnsi"/>
                      <w:bCs/>
                      <w:i/>
                    </w:rPr>
                  </w:pPr>
                  <w:r w:rsidRPr="00731803">
                    <w:rPr>
                      <w:rFonts w:asciiTheme="majorHAnsi" w:hAnsiTheme="majorHAnsi" w:cstheme="majorHAnsi"/>
                      <w:bCs/>
                      <w:i/>
                    </w:rPr>
                    <w:t>3.   Státní příslušníci třetích zemí, kteří jsou oprávněni pracovat na území členských států, mají nárok na stejné pracovní podmínky jako občané Unie.</w:t>
                  </w:r>
                  <w:r>
                    <w:rPr>
                      <w:rFonts w:asciiTheme="majorHAnsi" w:hAnsiTheme="majorHAnsi" w:cstheme="majorHAnsi"/>
                      <w:bCs/>
                      <w:i/>
                    </w:rPr>
                    <w:t>“</w:t>
                  </w:r>
                </w:p>
                <w:p w14:paraId="0C76FD12" w14:textId="77777777" w:rsidR="000C7234" w:rsidRPr="00BA7FF3" w:rsidRDefault="000C7234" w:rsidP="000C7234"/>
              </w:txbxContent>
            </v:textbox>
            <w10:wrap type="square" anchorx="margin"/>
          </v:roundrect>
        </w:pict>
      </w:r>
    </w:p>
    <w:p w14:paraId="35B86EED" w14:textId="0BD53D54" w:rsidR="000C7234" w:rsidRDefault="000C7234" w:rsidP="000C7234">
      <w:pPr>
        <w:pStyle w:val="Normlnweb"/>
        <w:tabs>
          <w:tab w:val="left" w:pos="262"/>
        </w:tabs>
        <w:ind w:right="521"/>
        <w:rPr>
          <w:rFonts w:ascii="Calibri" w:hAnsi="Calibri"/>
          <w:b/>
        </w:rPr>
      </w:pPr>
    </w:p>
    <w:tbl>
      <w:tblPr>
        <w:tblStyle w:val="Mkatabulky"/>
        <w:tblW w:w="0" w:type="auto"/>
        <w:tblLook w:val="04A0" w:firstRow="1" w:lastRow="0" w:firstColumn="1" w:lastColumn="0" w:noHBand="0" w:noVBand="1"/>
      </w:tblPr>
      <w:tblGrid>
        <w:gridCol w:w="8494"/>
      </w:tblGrid>
      <w:tr w:rsidR="00664DF4" w:rsidRPr="00470C01" w14:paraId="10B9B573" w14:textId="77777777" w:rsidTr="00CD2B58">
        <w:tc>
          <w:tcPr>
            <w:tcW w:w="8494" w:type="dxa"/>
          </w:tcPr>
          <w:p w14:paraId="37FD6FE0" w14:textId="77777777" w:rsidR="00664DF4" w:rsidRPr="00470C01" w:rsidRDefault="003D0AD2" w:rsidP="008C664A">
            <w:pPr>
              <w:jc w:val="both"/>
              <w:rPr>
                <w:rFonts w:ascii="Calibri" w:hAnsi="Calibri" w:cs="Calibri"/>
                <w:b/>
                <w:bCs/>
              </w:rPr>
            </w:pPr>
            <w:r>
              <w:rPr>
                <w:b/>
              </w:rPr>
              <w:t>Obsah</w:t>
            </w:r>
            <w:r w:rsidR="008C664A">
              <w:rPr>
                <w:b/>
              </w:rPr>
              <w:t xml:space="preserve"> a </w:t>
            </w:r>
            <w:r>
              <w:rPr>
                <w:b/>
              </w:rPr>
              <w:t xml:space="preserve">působnost článku </w:t>
            </w:r>
          </w:p>
        </w:tc>
      </w:tr>
      <w:tr w:rsidR="00664DF4" w:rsidRPr="00470C01" w14:paraId="51B02E0E" w14:textId="77777777" w:rsidTr="00CD2B58">
        <w:tc>
          <w:tcPr>
            <w:tcW w:w="8494" w:type="dxa"/>
          </w:tcPr>
          <w:p w14:paraId="3F72C4C9" w14:textId="77777777" w:rsidR="00EE7A03" w:rsidRDefault="00EE7A03" w:rsidP="008C664A">
            <w:pPr>
              <w:jc w:val="both"/>
              <w:rPr>
                <w:iCs/>
              </w:rPr>
            </w:pPr>
            <w:r>
              <w:t>Jedním ze základních lidských práv je možnost pracovat, která zaručuje, že každý člověk si může vybrat své povolání</w:t>
            </w:r>
            <w:r w:rsidR="008C664A">
              <w:t xml:space="preserve"> a </w:t>
            </w:r>
            <w:r>
              <w:t>vydělávat si jím na živobytí, čímž si zachovává lidskou důstojnost. Právo pracující populace na existenci odvislou od práce je úzce spojeno</w:t>
            </w:r>
            <w:r w:rsidR="008C664A">
              <w:t xml:space="preserve"> s </w:t>
            </w:r>
            <w:r>
              <w:t>jejich schopností</w:t>
            </w:r>
            <w:r w:rsidR="008C664A">
              <w:t xml:space="preserve"> a </w:t>
            </w:r>
            <w:r>
              <w:t xml:space="preserve">možností pracovat. </w:t>
            </w:r>
            <w:r>
              <w:cr/>
            </w:r>
          </w:p>
          <w:p w14:paraId="30F41BDA" w14:textId="77777777" w:rsidR="00EE7A03" w:rsidRDefault="00EE7A03" w:rsidP="008C664A">
            <w:pPr>
              <w:jc w:val="both"/>
              <w:rPr>
                <w:iCs/>
              </w:rPr>
            </w:pPr>
            <w:r>
              <w:t>Výkon práva na život ve společenském řádu, který dovoluje každému mít práci</w:t>
            </w:r>
            <w:r w:rsidR="008C664A">
              <w:t xml:space="preserve"> a </w:t>
            </w:r>
            <w:r>
              <w:t>dosahovat</w:t>
            </w:r>
            <w:r w:rsidR="008C664A">
              <w:t xml:space="preserve"> z </w:t>
            </w:r>
            <w:r>
              <w:t>ní výdělku pro své životní potřeby</w:t>
            </w:r>
            <w:r w:rsidR="008C664A">
              <w:t xml:space="preserve"> i </w:t>
            </w:r>
            <w:r>
              <w:t>pro zachování vlastní důstojnosti tím, že je mu umožněn osobní růst</w:t>
            </w:r>
            <w:r w:rsidR="008C664A">
              <w:t xml:space="preserve"> a </w:t>
            </w:r>
            <w:r>
              <w:t>individuální svoboda, je znám jako právo na práci.</w:t>
            </w:r>
          </w:p>
          <w:p w14:paraId="1FDD42F4" w14:textId="77777777" w:rsidR="00EE7A03" w:rsidRPr="00770C77" w:rsidRDefault="00EE7A03" w:rsidP="008C664A">
            <w:pPr>
              <w:jc w:val="both"/>
              <w:rPr>
                <w:iCs/>
              </w:rPr>
            </w:pPr>
          </w:p>
          <w:p w14:paraId="065E4C6E" w14:textId="77777777" w:rsidR="005A735D" w:rsidRPr="00770C77" w:rsidRDefault="005A735D" w:rsidP="008C664A">
            <w:pPr>
              <w:jc w:val="both"/>
              <w:rPr>
                <w:b/>
                <w:iCs/>
              </w:rPr>
            </w:pPr>
          </w:p>
          <w:p w14:paraId="6AA6DDDE" w14:textId="77777777" w:rsidR="00664DF4" w:rsidRDefault="003D0AD2" w:rsidP="008C664A">
            <w:pPr>
              <w:jc w:val="both"/>
              <w:rPr>
                <w:b/>
              </w:rPr>
            </w:pPr>
            <w:r>
              <w:rPr>
                <w:b/>
              </w:rPr>
              <w:t xml:space="preserve">Co dalšího obsahuje? </w:t>
            </w:r>
          </w:p>
          <w:p w14:paraId="1E9A798C" w14:textId="77777777" w:rsidR="003D0AD2" w:rsidRPr="00770C77" w:rsidRDefault="003D0AD2" w:rsidP="008C664A">
            <w:pPr>
              <w:jc w:val="both"/>
              <w:rPr>
                <w:b/>
              </w:rPr>
            </w:pPr>
          </w:p>
          <w:p w14:paraId="2735B8EB" w14:textId="77777777" w:rsidR="003D0AD2" w:rsidRDefault="007A36BF" w:rsidP="008C664A">
            <w:pPr>
              <w:jc w:val="both"/>
            </w:pPr>
            <w:r>
              <w:t>Právo na práci je nezbytně spojeno</w:t>
            </w:r>
            <w:r w:rsidR="008C664A">
              <w:t xml:space="preserve"> s </w:t>
            </w:r>
            <w:r>
              <w:t>dalšími právy</w:t>
            </w:r>
            <w:r w:rsidR="008C664A">
              <w:t xml:space="preserve"> a </w:t>
            </w:r>
            <w:r>
              <w:t>svobodami</w:t>
            </w:r>
            <w:r w:rsidR="008C664A">
              <w:t xml:space="preserve"> a </w:t>
            </w:r>
            <w:r>
              <w:t>jeho definiční znaky je řadí mezi základní lidská práva. Právo pracující populace na život</w:t>
            </w:r>
            <w:r w:rsidR="008C664A">
              <w:t xml:space="preserve"> a </w:t>
            </w:r>
            <w:r>
              <w:t>právo na práci jsou vzájemně úzce provázané. Každý musí být proto schopen žít ve společenském uspořádání, jež mu poskytuje mo</w:t>
            </w:r>
            <w:r w:rsidR="004F3F93">
              <w:t>žnosti zaměstnání</w:t>
            </w:r>
            <w:r w:rsidR="008C664A">
              <w:t xml:space="preserve"> a </w:t>
            </w:r>
            <w:r w:rsidR="004F3F93">
              <w:t xml:space="preserve">výdělku pro </w:t>
            </w:r>
            <w:r>
              <w:t>životní potřeby, zachování vlastní důstojnosti</w:t>
            </w:r>
            <w:r w:rsidR="008C664A">
              <w:t xml:space="preserve"> i </w:t>
            </w:r>
            <w:r>
              <w:t>růst vlastní osobnosti.</w:t>
            </w:r>
            <w:r w:rsidR="008C664A">
              <w:t xml:space="preserve"> V </w:t>
            </w:r>
            <w:r>
              <w:t>tomto pojetí každý, kdo je schopen</w:t>
            </w:r>
            <w:r w:rsidR="008C664A">
              <w:t xml:space="preserve"> a </w:t>
            </w:r>
            <w:r>
              <w:t>ochoten pracovat, má právo na práci</w:t>
            </w:r>
            <w:r w:rsidR="008C664A">
              <w:t xml:space="preserve"> a </w:t>
            </w:r>
            <w:r>
              <w:t>na mzdu odpovídající lidské důstojnosti. Je třeba připomenout premisu, že „právo na práci neznamená jen právo na zaměstnání“. Součástí práva na přiměřené pracovní prostředí</w:t>
            </w:r>
            <w:r w:rsidR="008C664A">
              <w:t xml:space="preserve"> a </w:t>
            </w:r>
            <w:r>
              <w:t>podmínky jsou bezpečnost na pracovišti, právo požadovat pracovní prostředí splňující zdravotní</w:t>
            </w:r>
            <w:r w:rsidR="008C664A">
              <w:t xml:space="preserve"> a </w:t>
            </w:r>
            <w:r>
              <w:t>bezpečnostní normy, právo na přiměřenou pracovní dobu, spravedlivou odměnu za práci, placenou dovolenou, odpočinek</w:t>
            </w:r>
            <w:r w:rsidR="008C664A">
              <w:t xml:space="preserve"> a </w:t>
            </w:r>
            <w:r>
              <w:t>volný čas, právo požadovat práci vhodnou podle věku, sil</w:t>
            </w:r>
            <w:r w:rsidR="008C664A">
              <w:t xml:space="preserve"> a </w:t>
            </w:r>
            <w:r>
              <w:t>pohlaví</w:t>
            </w:r>
            <w:r w:rsidR="008C664A">
              <w:t xml:space="preserve"> a </w:t>
            </w:r>
            <w:r>
              <w:t>právo na sociální zabezpečení.</w:t>
            </w:r>
            <w:r>
              <w:cr/>
            </w:r>
          </w:p>
          <w:p w14:paraId="2E067CBA" w14:textId="77777777" w:rsidR="00E47CDB" w:rsidRDefault="00E47CDB" w:rsidP="008C664A">
            <w:pPr>
              <w:jc w:val="both"/>
            </w:pPr>
          </w:p>
          <w:p w14:paraId="5303C6AB" w14:textId="77777777" w:rsidR="003D0AD2" w:rsidRPr="00770C77" w:rsidRDefault="003D0AD2" w:rsidP="008C664A">
            <w:pPr>
              <w:jc w:val="both"/>
              <w:rPr>
                <w:strike/>
              </w:rPr>
            </w:pPr>
          </w:p>
          <w:p w14:paraId="52E969E8" w14:textId="77777777" w:rsidR="00664DF4" w:rsidRDefault="007A36BF" w:rsidP="008C664A">
            <w:pPr>
              <w:jc w:val="both"/>
              <w:rPr>
                <w:b/>
                <w:bCs/>
              </w:rPr>
            </w:pPr>
            <w:r>
              <w:rPr>
                <w:b/>
              </w:rPr>
              <w:lastRenderedPageBreak/>
              <w:t>Postavení práva na práci mezi lidskými právy</w:t>
            </w:r>
          </w:p>
          <w:p w14:paraId="5F90D6AD" w14:textId="77777777" w:rsidR="007A36BF" w:rsidRPr="00770C77" w:rsidRDefault="007A36BF" w:rsidP="008C664A">
            <w:pPr>
              <w:jc w:val="both"/>
              <w:rPr>
                <w:b/>
                <w:bCs/>
                <w:strike/>
              </w:rPr>
            </w:pPr>
          </w:p>
          <w:p w14:paraId="52888C2E" w14:textId="77777777" w:rsidR="004623AC" w:rsidRDefault="007A36BF" w:rsidP="008C664A">
            <w:pPr>
              <w:jc w:val="both"/>
              <w:rPr>
                <w:bCs/>
              </w:rPr>
            </w:pPr>
            <w:r>
              <w:t>Jedním</w:t>
            </w:r>
            <w:r w:rsidR="008C664A">
              <w:t xml:space="preserve"> z </w:t>
            </w:r>
            <w:r>
              <w:t>nejzákladnějších lidských práv je možnost pracovat. Výkon práce je právem zařazeným jak do skupiny sociálních, tak do skupiny hospodářských práv. Možnost pracovat dopadá</w:t>
            </w:r>
            <w:r w:rsidR="008C664A">
              <w:t xml:space="preserve"> i </w:t>
            </w:r>
            <w:r>
              <w:t>na další lidská práva. Ta jsou díky své nedotknutelnosti neoddělitelná, přičemž je nemožné nadřazovat jedno nad druhé. Lidská práva představují situaci, kterou lze přirovnat ke spojenému kruhu rovnocenných položek. Odmítnutí nebo odepření jednoho lidského práva má dopad na celý soubor práv, stejně jako když se přetrhne jeden článek řetězu.</w:t>
            </w:r>
            <w:r w:rsidR="008C664A">
              <w:t xml:space="preserve"> V </w:t>
            </w:r>
            <w:r>
              <w:t>tomto smyslu je jejich vzájemná závislost, podobně jako</w:t>
            </w:r>
            <w:r w:rsidR="008C664A">
              <w:t xml:space="preserve"> u </w:t>
            </w:r>
            <w:r>
              <w:t>článků řetězu, dána lidskými právy. Lidská práva jsou univerzální, vzájemně podmíněná, propojená, celostní</w:t>
            </w:r>
            <w:r w:rsidR="008C664A">
              <w:t xml:space="preserve"> a </w:t>
            </w:r>
            <w:r>
              <w:t>stále se vyvíjející, což jejich závislost vysvětluje.</w:t>
            </w:r>
          </w:p>
          <w:p w14:paraId="6FCC0820" w14:textId="77777777" w:rsidR="008C664A" w:rsidRPr="00770C77" w:rsidRDefault="008C664A" w:rsidP="008C664A">
            <w:pPr>
              <w:jc w:val="both"/>
              <w:rPr>
                <w:b/>
                <w:bCs/>
                <w:strike/>
              </w:rPr>
            </w:pPr>
          </w:p>
          <w:p w14:paraId="0160A752" w14:textId="77777777" w:rsidR="008C664A" w:rsidRPr="00770C77" w:rsidRDefault="008C664A" w:rsidP="008C664A">
            <w:pPr>
              <w:jc w:val="both"/>
              <w:rPr>
                <w:b/>
                <w:bCs/>
                <w:strike/>
              </w:rPr>
            </w:pPr>
          </w:p>
          <w:p w14:paraId="73FF9348" w14:textId="77777777" w:rsidR="00664DF4" w:rsidRDefault="00BC3FCB" w:rsidP="008C664A">
            <w:pPr>
              <w:jc w:val="both"/>
              <w:rPr>
                <w:b/>
                <w:bCs/>
              </w:rPr>
            </w:pPr>
            <w:r>
              <w:rPr>
                <w:b/>
                <w:i/>
                <w:iCs/>
              </w:rPr>
              <w:t xml:space="preserve">Quo </w:t>
            </w:r>
            <w:proofErr w:type="spellStart"/>
            <w:r>
              <w:rPr>
                <w:b/>
                <w:i/>
                <w:iCs/>
              </w:rPr>
              <w:t>vadis</w:t>
            </w:r>
            <w:proofErr w:type="spellEnd"/>
            <w:r>
              <w:rPr>
                <w:b/>
              </w:rPr>
              <w:t>?</w:t>
            </w:r>
          </w:p>
          <w:p w14:paraId="2EC22E97" w14:textId="77777777" w:rsidR="00664DF4" w:rsidRPr="00770C77" w:rsidRDefault="00664DF4" w:rsidP="008C664A">
            <w:pPr>
              <w:jc w:val="both"/>
              <w:rPr>
                <w:bCs/>
              </w:rPr>
            </w:pPr>
          </w:p>
          <w:p w14:paraId="6A82186A" w14:textId="77777777" w:rsidR="004623AC" w:rsidRDefault="007A36BF" w:rsidP="008C664A">
            <w:pPr>
              <w:jc w:val="both"/>
              <w:rPr>
                <w:bCs/>
              </w:rPr>
            </w:pPr>
            <w:r>
              <w:t>Jedním</w:t>
            </w:r>
            <w:r w:rsidR="008C664A">
              <w:t xml:space="preserve"> z </w:t>
            </w:r>
            <w:r>
              <w:t>nejzákladnějších lidských práv je možnost pracovat. Základním prvkem práva na práci je zachování lidské důstojnosti. Stejně jako jiná lidská práva je právo na práci založeno na pojmech „člověk“</w:t>
            </w:r>
            <w:r w:rsidR="008C664A">
              <w:t xml:space="preserve"> a </w:t>
            </w:r>
            <w:r>
              <w:t>„právo“. Protože se jedná</w:t>
            </w:r>
            <w:r w:rsidR="008C664A">
              <w:t xml:space="preserve"> o </w:t>
            </w:r>
            <w:r>
              <w:t>socio-ekonomické právo, má právo na práci dopad na jiná lidská práva. Je třeba zdůraznit, že je nerealistické očekávat</w:t>
            </w:r>
            <w:r w:rsidR="008C664A">
              <w:t xml:space="preserve"> u </w:t>
            </w:r>
            <w:r>
              <w:t>někoho, kdo bojuje</w:t>
            </w:r>
            <w:r w:rsidR="008C664A">
              <w:t xml:space="preserve"> o </w:t>
            </w:r>
            <w:r>
              <w:t>„skývu chleba“, že dosáhne díky politickému povědomí svobody myšlení.</w:t>
            </w:r>
          </w:p>
          <w:p w14:paraId="1BEF983D" w14:textId="77777777" w:rsidR="007A36BF" w:rsidRPr="00770C77" w:rsidRDefault="007A36BF" w:rsidP="008C664A">
            <w:pPr>
              <w:jc w:val="both"/>
              <w:rPr>
                <w:rFonts w:ascii="Calibri" w:hAnsi="Calibri" w:cs="Calibri"/>
                <w:i/>
                <w:iCs/>
              </w:rPr>
            </w:pPr>
          </w:p>
        </w:tc>
      </w:tr>
      <w:tr w:rsidR="00664DF4" w:rsidRPr="00470C01" w14:paraId="31E51A77" w14:textId="77777777" w:rsidTr="00CD2B58">
        <w:tc>
          <w:tcPr>
            <w:tcW w:w="8494" w:type="dxa"/>
          </w:tcPr>
          <w:p w14:paraId="6EE3BD61" w14:textId="77777777" w:rsidR="00664DF4" w:rsidRPr="00470C01" w:rsidRDefault="00664DF4" w:rsidP="008C664A">
            <w:pPr>
              <w:jc w:val="both"/>
              <w:rPr>
                <w:rFonts w:ascii="Calibri" w:hAnsi="Calibri" w:cs="Calibri"/>
              </w:rPr>
            </w:pPr>
            <w:r>
              <w:rPr>
                <w:b/>
              </w:rPr>
              <w:lastRenderedPageBreak/>
              <w:t>Judikatura SDEU</w:t>
            </w:r>
          </w:p>
        </w:tc>
      </w:tr>
      <w:tr w:rsidR="00664DF4" w:rsidRPr="00470C01" w14:paraId="26C0BE80" w14:textId="77777777" w:rsidTr="00CD2B58">
        <w:tc>
          <w:tcPr>
            <w:tcW w:w="8494" w:type="dxa"/>
          </w:tcPr>
          <w:p w14:paraId="3D35142F" w14:textId="77777777" w:rsidR="00A23517" w:rsidRPr="00A23517" w:rsidRDefault="00A23517" w:rsidP="008C664A">
            <w:pPr>
              <w:jc w:val="both"/>
              <w:rPr>
                <w:b/>
                <w:bCs/>
              </w:rPr>
            </w:pPr>
          </w:p>
          <w:p w14:paraId="38541775" w14:textId="77777777" w:rsidR="00A23517" w:rsidRPr="00A23517" w:rsidRDefault="00A23517" w:rsidP="008C664A">
            <w:pPr>
              <w:pStyle w:val="Odstavecseseznamem"/>
              <w:numPr>
                <w:ilvl w:val="0"/>
                <w:numId w:val="3"/>
              </w:numPr>
              <w:jc w:val="both"/>
              <w:rPr>
                <w:b/>
                <w:bCs/>
              </w:rPr>
            </w:pPr>
            <w:r>
              <w:rPr>
                <w:b/>
              </w:rPr>
              <w:t xml:space="preserve">Rozsudek Soudního dvora, věc C-156/21: </w:t>
            </w:r>
            <w:r>
              <w:rPr>
                <w:b/>
                <w:i/>
                <w:iCs/>
              </w:rPr>
              <w:t>Maďarsko v. Evropský parlament</w:t>
            </w:r>
            <w:r w:rsidR="008C664A">
              <w:rPr>
                <w:b/>
                <w:i/>
                <w:iCs/>
              </w:rPr>
              <w:t xml:space="preserve"> a </w:t>
            </w:r>
            <w:r>
              <w:rPr>
                <w:b/>
                <w:i/>
                <w:iCs/>
              </w:rPr>
              <w:t>Rada Evropské unie</w:t>
            </w:r>
          </w:p>
          <w:p w14:paraId="0D14A8D1" w14:textId="77777777" w:rsidR="00556E79" w:rsidRPr="00556E79" w:rsidRDefault="00556E79" w:rsidP="008C664A">
            <w:pPr>
              <w:pStyle w:val="Odstavecseseznamem"/>
              <w:jc w:val="both"/>
              <w:rPr>
                <w:bCs/>
                <w:i/>
              </w:rPr>
            </w:pPr>
          </w:p>
          <w:p w14:paraId="6C9D0E13" w14:textId="77777777" w:rsidR="00130F17" w:rsidRDefault="004F3F93" w:rsidP="008C664A">
            <w:pPr>
              <w:jc w:val="both"/>
              <w:rPr>
                <w:bCs/>
                <w:i/>
              </w:rPr>
            </w:pPr>
            <w:r>
              <w:rPr>
                <w:i/>
              </w:rPr>
              <w:t>Klíčové pojmy:</w:t>
            </w:r>
            <w:r w:rsidR="00D4054E">
              <w:rPr>
                <w:i/>
              </w:rPr>
              <w:t xml:space="preserve"> žaloba na neplatnost – nařízení (EU, Euratom) 2020/2092 – obecný režim podmíněnosti na ochranu rozpočtu Evropské unie – ochrana rozpočtu Unie</w:t>
            </w:r>
            <w:r w:rsidR="008C664A">
              <w:rPr>
                <w:i/>
              </w:rPr>
              <w:t xml:space="preserve"> v </w:t>
            </w:r>
            <w:r w:rsidR="00D4054E">
              <w:rPr>
                <w:i/>
              </w:rPr>
              <w:t>případě porušování zásad právního státu</w:t>
            </w:r>
            <w:r w:rsidR="008C664A">
              <w:rPr>
                <w:i/>
              </w:rPr>
              <w:t xml:space="preserve"> v </w:t>
            </w:r>
            <w:r w:rsidR="00D4054E">
              <w:rPr>
                <w:i/>
              </w:rPr>
              <w:t>členském státě – právní základ – článek 322 odst. 1 písm. a) SFEU – údajné obcházení článku 7 SEU</w:t>
            </w:r>
            <w:r w:rsidR="008C664A">
              <w:rPr>
                <w:i/>
              </w:rPr>
              <w:t xml:space="preserve"> a </w:t>
            </w:r>
            <w:r w:rsidR="00D4054E">
              <w:rPr>
                <w:i/>
              </w:rPr>
              <w:t xml:space="preserve">článku 269 SFEU – údajná porušení </w:t>
            </w:r>
            <w:r w:rsidR="001442B8">
              <w:rPr>
                <w:i/>
              </w:rPr>
              <w:t>čl. </w:t>
            </w:r>
            <w:r w:rsidR="00D4054E">
              <w:rPr>
                <w:i/>
              </w:rPr>
              <w:t xml:space="preserve">4 odst. 1, </w:t>
            </w:r>
            <w:r w:rsidR="001442B8">
              <w:rPr>
                <w:i/>
              </w:rPr>
              <w:t>čl. </w:t>
            </w:r>
            <w:r w:rsidR="00D4054E">
              <w:rPr>
                <w:i/>
              </w:rPr>
              <w:t>5 odst. 2</w:t>
            </w:r>
            <w:r w:rsidR="008C664A">
              <w:rPr>
                <w:i/>
              </w:rPr>
              <w:t xml:space="preserve"> a </w:t>
            </w:r>
            <w:r w:rsidR="001442B8">
              <w:rPr>
                <w:i/>
              </w:rPr>
              <w:t>čl. </w:t>
            </w:r>
            <w:r w:rsidR="00D4054E">
              <w:rPr>
                <w:i/>
              </w:rPr>
              <w:t>13 odst. 2 SEU, jakož</w:t>
            </w:r>
            <w:r w:rsidR="008C664A">
              <w:rPr>
                <w:i/>
              </w:rPr>
              <w:t xml:space="preserve"> i </w:t>
            </w:r>
            <w:r w:rsidR="00D4054E">
              <w:rPr>
                <w:i/>
              </w:rPr>
              <w:t>zásad právní jistoty, proporcionality</w:t>
            </w:r>
            <w:r w:rsidR="008C664A">
              <w:rPr>
                <w:i/>
              </w:rPr>
              <w:t xml:space="preserve"> a </w:t>
            </w:r>
            <w:r w:rsidR="00D4054E">
              <w:rPr>
                <w:i/>
              </w:rPr>
              <w:t>rovnosti členských států před Smlouvami</w:t>
            </w:r>
          </w:p>
          <w:p w14:paraId="6031D8ED" w14:textId="77777777" w:rsidR="00556E79" w:rsidRDefault="00556E79" w:rsidP="008C664A">
            <w:pPr>
              <w:jc w:val="both"/>
              <w:rPr>
                <w:b/>
                <w:bCs/>
              </w:rPr>
            </w:pPr>
          </w:p>
          <w:p w14:paraId="735BD6D5" w14:textId="77777777" w:rsidR="00D4054E" w:rsidRPr="00333BB3" w:rsidRDefault="00333BB3" w:rsidP="008C664A">
            <w:pPr>
              <w:pStyle w:val="Odstavecseseznamem"/>
              <w:numPr>
                <w:ilvl w:val="0"/>
                <w:numId w:val="3"/>
              </w:numPr>
              <w:jc w:val="both"/>
              <w:rPr>
                <w:b/>
                <w:bCs/>
              </w:rPr>
            </w:pPr>
            <w:r>
              <w:rPr>
                <w:b/>
              </w:rPr>
              <w:t xml:space="preserve">Rozsudek Soudního dvora, věc C-157/21: </w:t>
            </w:r>
            <w:r>
              <w:rPr>
                <w:b/>
                <w:i/>
                <w:iCs/>
              </w:rPr>
              <w:t>Polská republika v. Evropský parlament</w:t>
            </w:r>
            <w:r w:rsidR="008C664A">
              <w:rPr>
                <w:b/>
                <w:i/>
                <w:iCs/>
              </w:rPr>
              <w:t xml:space="preserve"> a </w:t>
            </w:r>
            <w:r>
              <w:rPr>
                <w:b/>
                <w:i/>
                <w:iCs/>
              </w:rPr>
              <w:t>Rada Evropské unie</w:t>
            </w:r>
          </w:p>
          <w:p w14:paraId="254DA84F" w14:textId="77777777" w:rsidR="00664DF4" w:rsidRPr="003A5F4A" w:rsidRDefault="00664DF4" w:rsidP="008C664A">
            <w:pPr>
              <w:jc w:val="both"/>
              <w:rPr>
                <w:rFonts w:eastAsia="Times New Roman" w:cstheme="minorHAnsi"/>
                <w:strike/>
                <w:color w:val="000000"/>
                <w:lang w:eastAsia="cs-CZ"/>
              </w:rPr>
            </w:pPr>
          </w:p>
          <w:p w14:paraId="2F3EAD27" w14:textId="77777777" w:rsidR="0062393D" w:rsidRDefault="004F3F93" w:rsidP="008C664A">
            <w:pPr>
              <w:jc w:val="both"/>
              <w:rPr>
                <w:i/>
                <w:iCs/>
              </w:rPr>
            </w:pPr>
            <w:r>
              <w:rPr>
                <w:i/>
              </w:rPr>
              <w:t>Klíčové pojmy:</w:t>
            </w:r>
            <w:r w:rsidR="00333BB3">
              <w:rPr>
                <w:i/>
              </w:rPr>
              <w:t xml:space="preserve"> žaloba na neplatnost – nařízení (EU, Euratom) 2020/2092 – obecný režim podmíněnosti na ochranu rozpočtu Unie – ochrana rozpočtu Unie</w:t>
            </w:r>
            <w:r w:rsidR="008C664A">
              <w:rPr>
                <w:i/>
              </w:rPr>
              <w:t xml:space="preserve"> v </w:t>
            </w:r>
            <w:r w:rsidR="00333BB3">
              <w:rPr>
                <w:i/>
              </w:rPr>
              <w:t>případě porušování zásad právního státu</w:t>
            </w:r>
            <w:r w:rsidR="008C664A">
              <w:rPr>
                <w:i/>
              </w:rPr>
              <w:t xml:space="preserve"> v </w:t>
            </w:r>
            <w:r w:rsidR="00333BB3">
              <w:rPr>
                <w:i/>
              </w:rPr>
              <w:t>členském státě – právní základ – článek 322 odst. 1 písm. a) SFEU – článek 311 SFEU – článek 312 SFEU – údajné obcházení článku 7 SEU</w:t>
            </w:r>
            <w:r w:rsidR="008C664A">
              <w:rPr>
                <w:i/>
              </w:rPr>
              <w:t xml:space="preserve"> a </w:t>
            </w:r>
            <w:r w:rsidR="00333BB3">
              <w:rPr>
                <w:i/>
              </w:rPr>
              <w:t xml:space="preserve">článku 269 SFEU – údajná porušení </w:t>
            </w:r>
            <w:r w:rsidR="001442B8">
              <w:rPr>
                <w:i/>
              </w:rPr>
              <w:t>čl. </w:t>
            </w:r>
            <w:r w:rsidR="00333BB3">
              <w:rPr>
                <w:i/>
              </w:rPr>
              <w:t xml:space="preserve">4 odst. 1, </w:t>
            </w:r>
            <w:r w:rsidR="001442B8">
              <w:rPr>
                <w:i/>
              </w:rPr>
              <w:t>čl. </w:t>
            </w:r>
            <w:r w:rsidR="00333BB3">
              <w:rPr>
                <w:i/>
              </w:rPr>
              <w:t>5 odst. 2</w:t>
            </w:r>
            <w:r w:rsidR="008C664A">
              <w:rPr>
                <w:i/>
              </w:rPr>
              <w:t xml:space="preserve"> a </w:t>
            </w:r>
            <w:r w:rsidR="001442B8">
              <w:rPr>
                <w:i/>
              </w:rPr>
              <w:t>čl. </w:t>
            </w:r>
            <w:r w:rsidR="00333BB3">
              <w:rPr>
                <w:i/>
              </w:rPr>
              <w:t xml:space="preserve">13 odst. 2 SEU, </w:t>
            </w:r>
            <w:r w:rsidR="001442B8">
              <w:rPr>
                <w:i/>
              </w:rPr>
              <w:t>čl. </w:t>
            </w:r>
            <w:r w:rsidR="00333BB3">
              <w:rPr>
                <w:i/>
              </w:rPr>
              <w:t>296 druhého pododstavce SFEU, protokolu (</w:t>
            </w:r>
            <w:r w:rsidR="001442B8">
              <w:rPr>
                <w:i/>
              </w:rPr>
              <w:t>č. </w:t>
            </w:r>
            <w:r w:rsidR="00333BB3">
              <w:rPr>
                <w:i/>
              </w:rPr>
              <w:t>2)</w:t>
            </w:r>
            <w:r w:rsidR="008C664A">
              <w:rPr>
                <w:i/>
              </w:rPr>
              <w:t xml:space="preserve"> o </w:t>
            </w:r>
            <w:r w:rsidR="00333BB3">
              <w:rPr>
                <w:i/>
              </w:rPr>
              <w:t>používání zásad subsidiarity</w:t>
            </w:r>
            <w:r w:rsidR="008C664A">
              <w:rPr>
                <w:i/>
              </w:rPr>
              <w:t xml:space="preserve"> a </w:t>
            </w:r>
            <w:r w:rsidR="00333BB3">
              <w:rPr>
                <w:i/>
              </w:rPr>
              <w:t>proporcionality, jakož</w:t>
            </w:r>
            <w:r w:rsidR="008C664A">
              <w:rPr>
                <w:i/>
              </w:rPr>
              <w:t xml:space="preserve"> i </w:t>
            </w:r>
            <w:r w:rsidR="00333BB3">
              <w:rPr>
                <w:i/>
              </w:rPr>
              <w:t>zásad svěření pravomocí, právní jistoty, proporcionality</w:t>
            </w:r>
            <w:r w:rsidR="008C664A">
              <w:rPr>
                <w:i/>
              </w:rPr>
              <w:t xml:space="preserve"> a </w:t>
            </w:r>
            <w:r w:rsidR="00333BB3">
              <w:rPr>
                <w:i/>
              </w:rPr>
              <w:t>rovnosti členských států před Smlouvami – tvrzení</w:t>
            </w:r>
            <w:r w:rsidR="008C664A">
              <w:rPr>
                <w:i/>
              </w:rPr>
              <w:t xml:space="preserve"> o </w:t>
            </w:r>
            <w:r w:rsidR="00333BB3">
              <w:rPr>
                <w:i/>
              </w:rPr>
              <w:t>zneužití pravomoci</w:t>
            </w:r>
          </w:p>
          <w:p w14:paraId="12856B77" w14:textId="77777777" w:rsidR="00333BB3" w:rsidRPr="00770C77" w:rsidRDefault="00333BB3" w:rsidP="008C664A">
            <w:pPr>
              <w:jc w:val="both"/>
              <w:rPr>
                <w:i/>
                <w:iCs/>
              </w:rPr>
            </w:pPr>
          </w:p>
          <w:p w14:paraId="237873D9" w14:textId="77777777" w:rsidR="00333BB3" w:rsidRDefault="00333BB3" w:rsidP="008C664A">
            <w:pPr>
              <w:pStyle w:val="Odstavecseseznamem"/>
              <w:numPr>
                <w:ilvl w:val="0"/>
                <w:numId w:val="3"/>
              </w:numPr>
              <w:jc w:val="both"/>
              <w:rPr>
                <w:b/>
                <w:iCs/>
              </w:rPr>
            </w:pPr>
            <w:r>
              <w:rPr>
                <w:b/>
              </w:rPr>
              <w:t xml:space="preserve">Rozsudek Soudního dvora, věc C-718/18: </w:t>
            </w:r>
            <w:r>
              <w:rPr>
                <w:b/>
                <w:i/>
                <w:iCs/>
              </w:rPr>
              <w:t>Evropská komise v. Spolková republika Německo</w:t>
            </w:r>
          </w:p>
          <w:p w14:paraId="5F010779" w14:textId="77777777" w:rsidR="00333BB3" w:rsidRPr="00333BB3" w:rsidRDefault="00333BB3" w:rsidP="008C664A">
            <w:pPr>
              <w:pStyle w:val="Odstavecseseznamem"/>
              <w:jc w:val="both"/>
              <w:rPr>
                <w:b/>
                <w:iCs/>
                <w:lang w:val="en-US"/>
              </w:rPr>
            </w:pPr>
          </w:p>
          <w:p w14:paraId="45889D46" w14:textId="77777777" w:rsidR="00556E79" w:rsidRDefault="004F3F93" w:rsidP="008C664A">
            <w:pPr>
              <w:jc w:val="both"/>
              <w:rPr>
                <w:i/>
                <w:iCs/>
              </w:rPr>
            </w:pPr>
            <w:r>
              <w:rPr>
                <w:i/>
              </w:rPr>
              <w:t xml:space="preserve">Klíčové pojmy: </w:t>
            </w:r>
            <w:r w:rsidR="00333BB3">
              <w:rPr>
                <w:i/>
              </w:rPr>
              <w:t>nesplnění povinnosti státem – vnitřní trh</w:t>
            </w:r>
            <w:r w:rsidR="008C664A">
              <w:rPr>
                <w:i/>
              </w:rPr>
              <w:t xml:space="preserve"> s </w:t>
            </w:r>
            <w:r w:rsidR="00333BB3">
              <w:rPr>
                <w:i/>
              </w:rPr>
              <w:t>elektřinou</w:t>
            </w:r>
            <w:r w:rsidR="008C664A">
              <w:rPr>
                <w:i/>
              </w:rPr>
              <w:t xml:space="preserve"> a </w:t>
            </w:r>
            <w:r w:rsidR="00333BB3">
              <w:rPr>
                <w:i/>
              </w:rPr>
              <w:t>zemním plynem – směrnice 2009/72/ES – článek 2 bod 21 – článek 19 odst. 3, 5</w:t>
            </w:r>
            <w:r w:rsidR="008C664A">
              <w:rPr>
                <w:i/>
              </w:rPr>
              <w:t xml:space="preserve"> a </w:t>
            </w:r>
            <w:r w:rsidR="00333BB3">
              <w:rPr>
                <w:i/>
              </w:rPr>
              <w:t>8 – článek 37 odst. 1 písm. a)</w:t>
            </w:r>
            <w:r w:rsidR="008C664A">
              <w:rPr>
                <w:i/>
              </w:rPr>
              <w:t xml:space="preserve"> a </w:t>
            </w:r>
            <w:r w:rsidR="00333BB3">
              <w:rPr>
                <w:i/>
              </w:rPr>
              <w:t>odst. 6 písm. a)</w:t>
            </w:r>
            <w:r w:rsidR="008C664A">
              <w:rPr>
                <w:i/>
              </w:rPr>
              <w:t xml:space="preserve"> a </w:t>
            </w:r>
            <w:r w:rsidR="00333BB3">
              <w:rPr>
                <w:i/>
              </w:rPr>
              <w:t>b) – směrnice 2009/73/ES – článek 2 bod 20 – článek 19 odst. 3, 5</w:t>
            </w:r>
            <w:r w:rsidR="008C664A">
              <w:rPr>
                <w:i/>
              </w:rPr>
              <w:t xml:space="preserve"> a </w:t>
            </w:r>
            <w:r w:rsidR="00333BB3">
              <w:rPr>
                <w:i/>
              </w:rPr>
              <w:t>8 – článek 41 odst. 1 písm. a)</w:t>
            </w:r>
            <w:r w:rsidR="008C664A">
              <w:rPr>
                <w:i/>
              </w:rPr>
              <w:t xml:space="preserve"> a </w:t>
            </w:r>
            <w:r w:rsidR="00333BB3">
              <w:rPr>
                <w:i/>
              </w:rPr>
              <w:t>odst. 6 písm. a)</w:t>
            </w:r>
            <w:r w:rsidR="008C664A">
              <w:rPr>
                <w:i/>
              </w:rPr>
              <w:t xml:space="preserve"> a </w:t>
            </w:r>
            <w:r w:rsidR="00333BB3">
              <w:rPr>
                <w:i/>
              </w:rPr>
              <w:t>b) – pojem „vertikálně integrovaný podnik“ – účinné oddělení mezi přenosovými soustavami</w:t>
            </w:r>
            <w:r w:rsidR="008C664A">
              <w:rPr>
                <w:i/>
              </w:rPr>
              <w:t xml:space="preserve"> a </w:t>
            </w:r>
            <w:r w:rsidR="00333BB3">
              <w:rPr>
                <w:i/>
              </w:rPr>
              <w:t>činnostmi výroby</w:t>
            </w:r>
            <w:r w:rsidR="008C664A">
              <w:rPr>
                <w:i/>
              </w:rPr>
              <w:t xml:space="preserve"> a </w:t>
            </w:r>
            <w:r w:rsidR="00333BB3">
              <w:rPr>
                <w:i/>
              </w:rPr>
              <w:t>dodávek elektřiny</w:t>
            </w:r>
            <w:r w:rsidR="008C664A">
              <w:rPr>
                <w:i/>
              </w:rPr>
              <w:t xml:space="preserve"> a </w:t>
            </w:r>
            <w:r w:rsidR="00333BB3">
              <w:rPr>
                <w:i/>
              </w:rPr>
              <w:t>zemního plynu – nezávislý provozovatel přenosové soustavy – nezávislost zaměstnanců</w:t>
            </w:r>
            <w:r w:rsidR="008C664A">
              <w:rPr>
                <w:i/>
              </w:rPr>
              <w:t xml:space="preserve"> a </w:t>
            </w:r>
            <w:r w:rsidR="00333BB3">
              <w:rPr>
                <w:i/>
              </w:rPr>
              <w:t>vedení tohoto provozovatele – přechodná období – podíly</w:t>
            </w:r>
            <w:r w:rsidR="008C664A">
              <w:rPr>
                <w:i/>
              </w:rPr>
              <w:t xml:space="preserve"> v </w:t>
            </w:r>
            <w:r w:rsidR="00333BB3">
              <w:rPr>
                <w:i/>
              </w:rPr>
              <w:t>základním kapitálu vertikálně integrovaného podniku – vnitrostátní regulační orgány – nezávislost – výlučné pravomoci – článek 45 SFEU – volný pohyb pracovníků – Listina základních práv Evropské unie – článek 15 – právo pracovat</w:t>
            </w:r>
            <w:r w:rsidR="008C664A">
              <w:rPr>
                <w:i/>
              </w:rPr>
              <w:t xml:space="preserve"> a </w:t>
            </w:r>
            <w:r w:rsidR="00333BB3">
              <w:rPr>
                <w:i/>
              </w:rPr>
              <w:t>vykonávat povolání – článek 17 – právo na vlastnictví – článek 52 odst. 1 – meze – zásada demokracie</w:t>
            </w:r>
          </w:p>
          <w:p w14:paraId="25066AFC" w14:textId="77777777" w:rsidR="00333BB3" w:rsidRDefault="00333BB3" w:rsidP="008C664A">
            <w:pPr>
              <w:jc w:val="both"/>
              <w:rPr>
                <w:i/>
                <w:iCs/>
                <w:lang w:val="en-US"/>
              </w:rPr>
            </w:pPr>
          </w:p>
          <w:p w14:paraId="02431640" w14:textId="48B3C469" w:rsidR="00333BB3" w:rsidRPr="00333BB3" w:rsidRDefault="00333BB3" w:rsidP="008C664A">
            <w:pPr>
              <w:pStyle w:val="Odstavecseseznamem"/>
              <w:numPr>
                <w:ilvl w:val="0"/>
                <w:numId w:val="3"/>
              </w:numPr>
              <w:jc w:val="both"/>
              <w:rPr>
                <w:b/>
                <w:iCs/>
              </w:rPr>
            </w:pPr>
            <w:r>
              <w:rPr>
                <w:b/>
              </w:rPr>
              <w:t>Rozsudek Soudního dvora, věc C-166/20:</w:t>
            </w:r>
            <w:r w:rsidR="00F069AA">
              <w:rPr>
                <w:b/>
              </w:rPr>
              <w:t xml:space="preserve"> </w:t>
            </w:r>
            <w:r>
              <w:rPr>
                <w:b/>
                <w:i/>
                <w:iCs/>
              </w:rPr>
              <w:t xml:space="preserve">BB v. </w:t>
            </w:r>
            <w:proofErr w:type="spellStart"/>
            <w:r>
              <w:rPr>
                <w:b/>
                <w:i/>
                <w:iCs/>
              </w:rPr>
              <w:t>Lietuvos</w:t>
            </w:r>
            <w:proofErr w:type="spellEnd"/>
            <w:r>
              <w:rPr>
                <w:b/>
                <w:i/>
                <w:iCs/>
              </w:rPr>
              <w:t xml:space="preserve"> </w:t>
            </w:r>
            <w:proofErr w:type="spellStart"/>
            <w:r>
              <w:rPr>
                <w:b/>
                <w:i/>
                <w:iCs/>
              </w:rPr>
              <w:t>Respublikos</w:t>
            </w:r>
            <w:proofErr w:type="spellEnd"/>
            <w:r>
              <w:rPr>
                <w:b/>
                <w:i/>
                <w:iCs/>
              </w:rPr>
              <w:t xml:space="preserve"> </w:t>
            </w:r>
            <w:proofErr w:type="spellStart"/>
            <w:r>
              <w:rPr>
                <w:b/>
                <w:i/>
                <w:iCs/>
              </w:rPr>
              <w:t>sveikatos</w:t>
            </w:r>
            <w:proofErr w:type="spellEnd"/>
            <w:r>
              <w:rPr>
                <w:b/>
                <w:i/>
                <w:iCs/>
              </w:rPr>
              <w:t xml:space="preserve"> </w:t>
            </w:r>
            <w:proofErr w:type="spellStart"/>
            <w:r>
              <w:rPr>
                <w:b/>
                <w:i/>
                <w:iCs/>
              </w:rPr>
              <w:t>apsaugos</w:t>
            </w:r>
            <w:proofErr w:type="spellEnd"/>
            <w:r>
              <w:rPr>
                <w:b/>
                <w:i/>
                <w:iCs/>
              </w:rPr>
              <w:t xml:space="preserve"> </w:t>
            </w:r>
            <w:proofErr w:type="spellStart"/>
            <w:r>
              <w:rPr>
                <w:b/>
                <w:i/>
                <w:iCs/>
              </w:rPr>
              <w:t>ministerija</w:t>
            </w:r>
            <w:proofErr w:type="spellEnd"/>
          </w:p>
          <w:p w14:paraId="62B93A6A" w14:textId="77777777" w:rsidR="0062393D" w:rsidRDefault="0062393D" w:rsidP="008C664A">
            <w:pPr>
              <w:jc w:val="both"/>
              <w:rPr>
                <w:iCs/>
                <w:lang w:val="en-US"/>
              </w:rPr>
            </w:pPr>
          </w:p>
          <w:p w14:paraId="7702D1F1" w14:textId="77777777" w:rsidR="00333BB3" w:rsidRDefault="00333BB3" w:rsidP="008C664A">
            <w:pPr>
              <w:jc w:val="both"/>
              <w:rPr>
                <w:i/>
                <w:iCs/>
              </w:rPr>
            </w:pPr>
            <w:r>
              <w:rPr>
                <w:i/>
              </w:rPr>
              <w:t>Klíčové po</w:t>
            </w:r>
            <w:r w:rsidR="004F3F93">
              <w:rPr>
                <w:i/>
              </w:rPr>
              <w:t>jmy:</w:t>
            </w:r>
            <w:r>
              <w:rPr>
                <w:i/>
              </w:rPr>
              <w:t xml:space="preserve"> řízení</w:t>
            </w:r>
            <w:r w:rsidR="008C664A">
              <w:rPr>
                <w:i/>
              </w:rPr>
              <w:t xml:space="preserve"> o </w:t>
            </w:r>
            <w:r>
              <w:rPr>
                <w:i/>
              </w:rPr>
              <w:t>předběžné otázce – uznávání odborných kvalifikací – směrnice 2005/36/ES – článek 1</w:t>
            </w:r>
            <w:r w:rsidR="008C664A">
              <w:rPr>
                <w:i/>
              </w:rPr>
              <w:t xml:space="preserve"> a </w:t>
            </w:r>
            <w:r w:rsidR="001442B8">
              <w:rPr>
                <w:i/>
              </w:rPr>
              <w:t>čl. </w:t>
            </w:r>
            <w:r>
              <w:rPr>
                <w:i/>
              </w:rPr>
              <w:t>10 písm. b) – odborné kvalifikace získané</w:t>
            </w:r>
            <w:r w:rsidR="008C664A">
              <w:rPr>
                <w:i/>
              </w:rPr>
              <w:t xml:space="preserve"> v </w:t>
            </w:r>
            <w:r>
              <w:rPr>
                <w:i/>
              </w:rPr>
              <w:t>několika členských státech – podmínky získání – absence dokladu</w:t>
            </w:r>
            <w:r w:rsidR="008C664A">
              <w:rPr>
                <w:i/>
              </w:rPr>
              <w:t xml:space="preserve"> o </w:t>
            </w:r>
            <w:r>
              <w:rPr>
                <w:i/>
              </w:rPr>
              <w:t>dosažené kvalifikaci – články 45</w:t>
            </w:r>
            <w:r w:rsidR="008C664A">
              <w:rPr>
                <w:i/>
              </w:rPr>
              <w:t xml:space="preserve"> a </w:t>
            </w:r>
            <w:r>
              <w:rPr>
                <w:i/>
              </w:rPr>
              <w:t>49 SFEU – pracovníci – svoboda usazování</w:t>
            </w:r>
          </w:p>
          <w:p w14:paraId="423D0ECD" w14:textId="77777777" w:rsidR="00333BB3" w:rsidRDefault="00333BB3" w:rsidP="008C664A">
            <w:pPr>
              <w:jc w:val="both"/>
              <w:rPr>
                <w:i/>
                <w:iCs/>
                <w:lang w:val="en-US"/>
              </w:rPr>
            </w:pPr>
          </w:p>
          <w:p w14:paraId="3B6D98E1" w14:textId="77777777" w:rsidR="00333BB3" w:rsidRPr="00333BB3" w:rsidRDefault="00333BB3" w:rsidP="008C664A">
            <w:pPr>
              <w:pStyle w:val="Odstavecseseznamem"/>
              <w:numPr>
                <w:ilvl w:val="0"/>
                <w:numId w:val="3"/>
              </w:numPr>
              <w:jc w:val="both"/>
              <w:rPr>
                <w:b/>
                <w:iCs/>
              </w:rPr>
            </w:pPr>
            <w:r>
              <w:rPr>
                <w:b/>
              </w:rPr>
              <w:t xml:space="preserve">Rozsudek Soudního dvora, věc C-511/19: </w:t>
            </w:r>
            <w:r>
              <w:rPr>
                <w:b/>
                <w:i/>
                <w:iCs/>
              </w:rPr>
              <w:t xml:space="preserve">AB v. </w:t>
            </w:r>
            <w:proofErr w:type="spellStart"/>
            <w:r>
              <w:rPr>
                <w:b/>
                <w:i/>
                <w:iCs/>
              </w:rPr>
              <w:t>Olympiako</w:t>
            </w:r>
            <w:proofErr w:type="spellEnd"/>
            <w:r>
              <w:rPr>
                <w:b/>
                <w:i/>
                <w:iCs/>
              </w:rPr>
              <w:t xml:space="preserve"> </w:t>
            </w:r>
            <w:proofErr w:type="spellStart"/>
            <w:r>
              <w:rPr>
                <w:b/>
                <w:i/>
                <w:iCs/>
              </w:rPr>
              <w:t>Athlitiko</w:t>
            </w:r>
            <w:proofErr w:type="spellEnd"/>
            <w:r>
              <w:rPr>
                <w:b/>
                <w:i/>
                <w:iCs/>
              </w:rPr>
              <w:t xml:space="preserve"> </w:t>
            </w:r>
            <w:proofErr w:type="spellStart"/>
            <w:r>
              <w:rPr>
                <w:b/>
                <w:i/>
                <w:iCs/>
              </w:rPr>
              <w:t>Kentro</w:t>
            </w:r>
            <w:proofErr w:type="spellEnd"/>
            <w:r>
              <w:rPr>
                <w:b/>
                <w:i/>
                <w:iCs/>
              </w:rPr>
              <w:t xml:space="preserve"> </w:t>
            </w:r>
            <w:proofErr w:type="spellStart"/>
            <w:r>
              <w:rPr>
                <w:b/>
                <w:i/>
                <w:iCs/>
              </w:rPr>
              <w:t>Athinon</w:t>
            </w:r>
            <w:proofErr w:type="spellEnd"/>
            <w:r>
              <w:rPr>
                <w:b/>
                <w:i/>
                <w:iCs/>
              </w:rPr>
              <w:t xml:space="preserve"> – </w:t>
            </w:r>
            <w:proofErr w:type="spellStart"/>
            <w:r>
              <w:rPr>
                <w:b/>
                <w:i/>
                <w:iCs/>
              </w:rPr>
              <w:t>Spyros</w:t>
            </w:r>
            <w:proofErr w:type="spellEnd"/>
            <w:r>
              <w:rPr>
                <w:b/>
                <w:i/>
                <w:iCs/>
              </w:rPr>
              <w:t xml:space="preserve"> Louis</w:t>
            </w:r>
          </w:p>
          <w:p w14:paraId="768EB15F" w14:textId="77777777" w:rsidR="00556E79" w:rsidRDefault="00556E79" w:rsidP="008C664A">
            <w:pPr>
              <w:jc w:val="both"/>
              <w:rPr>
                <w:i/>
                <w:iCs/>
                <w:lang w:val="en-US"/>
              </w:rPr>
            </w:pPr>
          </w:p>
          <w:p w14:paraId="5B378E35" w14:textId="77777777" w:rsidR="00333BB3" w:rsidRDefault="00333BB3" w:rsidP="008C664A">
            <w:pPr>
              <w:jc w:val="both"/>
              <w:rPr>
                <w:i/>
                <w:iCs/>
              </w:rPr>
            </w:pPr>
            <w:r>
              <w:rPr>
                <w:i/>
              </w:rPr>
              <w:t>Klíčové pojmy: řízení</w:t>
            </w:r>
            <w:r w:rsidR="008C664A">
              <w:rPr>
                <w:i/>
              </w:rPr>
              <w:t xml:space="preserve"> o </w:t>
            </w:r>
            <w:r>
              <w:rPr>
                <w:i/>
              </w:rPr>
              <w:t>předběžné otázce – sociální politika – směrnice 2000/78/ES – zásada rovného zacházení</w:t>
            </w:r>
            <w:r w:rsidR="008C664A">
              <w:rPr>
                <w:i/>
              </w:rPr>
              <w:t xml:space="preserve"> v </w:t>
            </w:r>
            <w:r>
              <w:rPr>
                <w:i/>
              </w:rPr>
              <w:t>zaměstnání</w:t>
            </w:r>
            <w:r w:rsidR="008C664A">
              <w:rPr>
                <w:i/>
              </w:rPr>
              <w:t xml:space="preserve"> a </w:t>
            </w:r>
            <w:r>
              <w:rPr>
                <w:i/>
              </w:rPr>
              <w:t>povolání – zákaz diskriminace na základě věku – pracovníci zařazení do personální rezervy do skončení jejich pracovní smlouvy – snížení platu</w:t>
            </w:r>
            <w:r w:rsidR="008C664A">
              <w:rPr>
                <w:i/>
              </w:rPr>
              <w:t xml:space="preserve"> a </w:t>
            </w:r>
            <w:r>
              <w:rPr>
                <w:i/>
              </w:rPr>
              <w:t>snížení nebo ztráta odstupného při propuštění – režim použitelný na pracovníky ve veřejném sektoru, kteří se blíží okamžiku odchodu do plného důchodu – snižování mzdových výdajů ve veřejném sektoru – článek 6 odst. 1 – legitimní cíl sociální politiky – situace hospodářské krize</w:t>
            </w:r>
          </w:p>
          <w:p w14:paraId="7D577B77" w14:textId="77777777" w:rsidR="00333BB3" w:rsidRDefault="00333BB3" w:rsidP="008C664A">
            <w:pPr>
              <w:jc w:val="both"/>
              <w:rPr>
                <w:i/>
                <w:iCs/>
                <w:lang w:val="en-US"/>
              </w:rPr>
            </w:pPr>
          </w:p>
          <w:p w14:paraId="202879DF" w14:textId="77777777" w:rsidR="00333BB3" w:rsidRDefault="00EE7A03" w:rsidP="008C664A">
            <w:pPr>
              <w:pStyle w:val="Odstavecseseznamem"/>
              <w:numPr>
                <w:ilvl w:val="0"/>
                <w:numId w:val="3"/>
              </w:numPr>
              <w:jc w:val="both"/>
              <w:rPr>
                <w:b/>
                <w:iCs/>
              </w:rPr>
            </w:pPr>
            <w:r>
              <w:rPr>
                <w:b/>
              </w:rPr>
              <w:t xml:space="preserve">Rozsudek Soudního dvora, věc C-670/18: </w:t>
            </w:r>
            <w:r>
              <w:rPr>
                <w:b/>
                <w:i/>
                <w:iCs/>
              </w:rPr>
              <w:t xml:space="preserve">CO v. </w:t>
            </w:r>
            <w:proofErr w:type="spellStart"/>
            <w:r>
              <w:rPr>
                <w:b/>
                <w:i/>
                <w:iCs/>
              </w:rPr>
              <w:t>Comune</w:t>
            </w:r>
            <w:proofErr w:type="spellEnd"/>
            <w:r>
              <w:rPr>
                <w:b/>
                <w:i/>
                <w:iCs/>
              </w:rPr>
              <w:t xml:space="preserve"> di </w:t>
            </w:r>
            <w:proofErr w:type="spellStart"/>
            <w:r>
              <w:rPr>
                <w:b/>
                <w:i/>
                <w:iCs/>
              </w:rPr>
              <w:t>Gesturi</w:t>
            </w:r>
            <w:proofErr w:type="spellEnd"/>
          </w:p>
          <w:p w14:paraId="4BD81A61" w14:textId="77777777" w:rsidR="00EE7A03" w:rsidRDefault="00EE7A03" w:rsidP="008C664A">
            <w:pPr>
              <w:jc w:val="both"/>
              <w:rPr>
                <w:b/>
                <w:iCs/>
                <w:lang w:val="en-US"/>
              </w:rPr>
            </w:pPr>
          </w:p>
          <w:p w14:paraId="3C78E82F" w14:textId="77777777" w:rsidR="00EE7A03" w:rsidRDefault="00EE7A03" w:rsidP="008C664A">
            <w:pPr>
              <w:jc w:val="both"/>
              <w:rPr>
                <w:i/>
                <w:iCs/>
              </w:rPr>
            </w:pPr>
            <w:r>
              <w:rPr>
                <w:i/>
              </w:rPr>
              <w:t>Klíčové pojmy: řízení</w:t>
            </w:r>
            <w:r w:rsidR="008C664A">
              <w:rPr>
                <w:i/>
              </w:rPr>
              <w:t xml:space="preserve"> o </w:t>
            </w:r>
            <w:r>
              <w:rPr>
                <w:i/>
              </w:rPr>
              <w:t>předběžné otázce – sociální politika – zásada rovného zacházení</w:t>
            </w:r>
            <w:r w:rsidR="008C664A">
              <w:rPr>
                <w:i/>
              </w:rPr>
              <w:t xml:space="preserve"> v </w:t>
            </w:r>
            <w:r>
              <w:rPr>
                <w:i/>
              </w:rPr>
              <w:t>zaměstnání</w:t>
            </w:r>
            <w:r w:rsidR="008C664A">
              <w:rPr>
                <w:i/>
              </w:rPr>
              <w:t xml:space="preserve"> a </w:t>
            </w:r>
            <w:r>
              <w:rPr>
                <w:i/>
              </w:rPr>
              <w:t>povolání – směrnice 2000/78/ES – zákaz diskriminace na základě věku – veřejná výzva</w:t>
            </w:r>
            <w:r w:rsidR="008C664A">
              <w:rPr>
                <w:i/>
              </w:rPr>
              <w:t xml:space="preserve"> k </w:t>
            </w:r>
            <w:r>
              <w:rPr>
                <w:i/>
              </w:rPr>
              <w:t>vyjádření zájmu – podmínky účasti – vyloučení důchodců</w:t>
            </w:r>
            <w:r w:rsidR="008C664A">
              <w:rPr>
                <w:i/>
              </w:rPr>
              <w:t xml:space="preserve"> z </w:t>
            </w:r>
            <w:r>
              <w:rPr>
                <w:i/>
              </w:rPr>
              <w:t>veřejného nebo soukromého sektoru</w:t>
            </w:r>
          </w:p>
          <w:p w14:paraId="057030F7" w14:textId="77777777" w:rsidR="00EE7A03" w:rsidRDefault="00EE7A03" w:rsidP="008C664A">
            <w:pPr>
              <w:jc w:val="both"/>
              <w:rPr>
                <w:i/>
                <w:iCs/>
                <w:lang w:val="en-US"/>
              </w:rPr>
            </w:pPr>
          </w:p>
          <w:p w14:paraId="3C1317B2" w14:textId="77777777" w:rsidR="00EE7A03" w:rsidRPr="00EE7A03" w:rsidRDefault="00EE7A03" w:rsidP="008C664A">
            <w:pPr>
              <w:pStyle w:val="Odstavecseseznamem"/>
              <w:numPr>
                <w:ilvl w:val="0"/>
                <w:numId w:val="3"/>
              </w:numPr>
              <w:jc w:val="both"/>
              <w:rPr>
                <w:b/>
                <w:iCs/>
              </w:rPr>
            </w:pPr>
            <w:r>
              <w:rPr>
                <w:b/>
              </w:rPr>
              <w:t xml:space="preserve">Rozsudek Soudního dvora, věc C-507/18: </w:t>
            </w:r>
            <w:r>
              <w:rPr>
                <w:b/>
                <w:i/>
                <w:iCs/>
              </w:rPr>
              <w:t xml:space="preserve">NH v. </w:t>
            </w:r>
            <w:proofErr w:type="spellStart"/>
            <w:r>
              <w:rPr>
                <w:b/>
                <w:i/>
                <w:iCs/>
              </w:rPr>
              <w:t>Associazione</w:t>
            </w:r>
            <w:proofErr w:type="spellEnd"/>
            <w:r>
              <w:rPr>
                <w:b/>
                <w:i/>
                <w:iCs/>
              </w:rPr>
              <w:t xml:space="preserve"> </w:t>
            </w:r>
            <w:proofErr w:type="spellStart"/>
            <w:r>
              <w:rPr>
                <w:b/>
                <w:i/>
                <w:iCs/>
              </w:rPr>
              <w:t>Avvocatura</w:t>
            </w:r>
            <w:proofErr w:type="spellEnd"/>
            <w:r>
              <w:rPr>
                <w:b/>
                <w:i/>
                <w:iCs/>
              </w:rPr>
              <w:t xml:space="preserve"> per</w:t>
            </w:r>
            <w:r w:rsidR="008C664A">
              <w:rPr>
                <w:b/>
                <w:i/>
                <w:iCs/>
              </w:rPr>
              <w:t xml:space="preserve"> i </w:t>
            </w:r>
            <w:proofErr w:type="spellStart"/>
            <w:r>
              <w:rPr>
                <w:b/>
                <w:i/>
                <w:iCs/>
              </w:rPr>
              <w:t>diritti</w:t>
            </w:r>
            <w:proofErr w:type="spellEnd"/>
            <w:r>
              <w:rPr>
                <w:b/>
                <w:i/>
                <w:iCs/>
              </w:rPr>
              <w:t xml:space="preserve"> LGBTI - Rete </w:t>
            </w:r>
            <w:proofErr w:type="spellStart"/>
            <w:r>
              <w:rPr>
                <w:b/>
                <w:i/>
                <w:iCs/>
              </w:rPr>
              <w:t>Lenford</w:t>
            </w:r>
            <w:proofErr w:type="spellEnd"/>
          </w:p>
          <w:p w14:paraId="4380E8B2" w14:textId="77777777" w:rsidR="00556E79" w:rsidRDefault="00556E79" w:rsidP="008C664A">
            <w:pPr>
              <w:jc w:val="both"/>
              <w:rPr>
                <w:b/>
                <w:iCs/>
                <w:lang w:val="en-US"/>
              </w:rPr>
            </w:pPr>
          </w:p>
          <w:p w14:paraId="436BD71F" w14:textId="77777777" w:rsidR="00EE7A03" w:rsidRDefault="00EE7A03" w:rsidP="008C664A">
            <w:pPr>
              <w:jc w:val="both"/>
              <w:rPr>
                <w:i/>
                <w:iCs/>
              </w:rPr>
            </w:pPr>
            <w:r>
              <w:rPr>
                <w:i/>
              </w:rPr>
              <w:t>Klíčové pojmy: řízení</w:t>
            </w:r>
            <w:r w:rsidR="008C664A">
              <w:rPr>
                <w:i/>
              </w:rPr>
              <w:t xml:space="preserve"> o </w:t>
            </w:r>
            <w:r>
              <w:rPr>
                <w:i/>
              </w:rPr>
              <w:t>předběžné otázce – rovné zacházení</w:t>
            </w:r>
            <w:r w:rsidR="008C664A">
              <w:rPr>
                <w:i/>
              </w:rPr>
              <w:t xml:space="preserve"> v </w:t>
            </w:r>
            <w:r>
              <w:rPr>
                <w:i/>
              </w:rPr>
              <w:t>zaměstnání</w:t>
            </w:r>
            <w:r w:rsidR="008C664A">
              <w:rPr>
                <w:i/>
              </w:rPr>
              <w:t xml:space="preserve"> a </w:t>
            </w:r>
            <w:r>
              <w:rPr>
                <w:i/>
              </w:rPr>
              <w:t xml:space="preserve">povolání – </w:t>
            </w:r>
            <w:r>
              <w:rPr>
                <w:i/>
              </w:rPr>
              <w:lastRenderedPageBreak/>
              <w:t xml:space="preserve">směrnice 2000/78/ES – článek 3 odst. 1 písm. a), </w:t>
            </w:r>
            <w:r w:rsidR="001442B8">
              <w:rPr>
                <w:i/>
              </w:rPr>
              <w:t>čl. </w:t>
            </w:r>
            <w:r>
              <w:rPr>
                <w:i/>
              </w:rPr>
              <w:t>8 odst. 1</w:t>
            </w:r>
            <w:r w:rsidR="008C664A">
              <w:rPr>
                <w:i/>
              </w:rPr>
              <w:t xml:space="preserve"> a </w:t>
            </w:r>
            <w:r w:rsidR="001442B8">
              <w:rPr>
                <w:i/>
              </w:rPr>
              <w:t>čl. </w:t>
            </w:r>
            <w:r>
              <w:rPr>
                <w:i/>
              </w:rPr>
              <w:t>9 odst. 2 – zákaz diskriminace na základě sexuální orientace – podmínky přístupu</w:t>
            </w:r>
            <w:r w:rsidR="008C664A">
              <w:rPr>
                <w:i/>
              </w:rPr>
              <w:t xml:space="preserve"> k </w:t>
            </w:r>
            <w:r>
              <w:rPr>
                <w:i/>
              </w:rPr>
              <w:t>zaměstnání nebo</w:t>
            </w:r>
            <w:r w:rsidR="008C664A">
              <w:rPr>
                <w:i/>
              </w:rPr>
              <w:t xml:space="preserve"> k </w:t>
            </w:r>
            <w:r>
              <w:rPr>
                <w:i/>
              </w:rPr>
              <w:t xml:space="preserve">povolání – pojem – veřejná prohlášení, která vylučují nábor homosexuálních osob do zaměstnání – článek 11 odst. 1, </w:t>
            </w:r>
            <w:r w:rsidR="001442B8">
              <w:rPr>
                <w:i/>
              </w:rPr>
              <w:t>čl. </w:t>
            </w:r>
            <w:r>
              <w:rPr>
                <w:i/>
              </w:rPr>
              <w:t>15 odst. 1</w:t>
            </w:r>
            <w:r w:rsidR="008C664A">
              <w:rPr>
                <w:i/>
              </w:rPr>
              <w:t xml:space="preserve"> a </w:t>
            </w:r>
            <w:r w:rsidR="001442B8">
              <w:rPr>
                <w:i/>
              </w:rPr>
              <w:t>čl. </w:t>
            </w:r>
            <w:r>
              <w:rPr>
                <w:i/>
              </w:rPr>
              <w:t>21 odst. 1 Listiny základních práv Evropské unie – ochrana práv – sankce – právnická osoba zastupující kolektivní zájem – aktivní legitimace</w:t>
            </w:r>
            <w:r w:rsidR="008C664A">
              <w:rPr>
                <w:i/>
              </w:rPr>
              <w:t xml:space="preserve"> k </w:t>
            </w:r>
            <w:r>
              <w:rPr>
                <w:i/>
              </w:rPr>
              <w:t>jednání před soudem, aniž je jednáno jménem určitého stěžovatele nebo aniž existuje osoba poškozeného – právo na náhradu škody</w:t>
            </w:r>
          </w:p>
          <w:p w14:paraId="1B288DAA" w14:textId="77777777" w:rsidR="00EE7A03" w:rsidRPr="00770C77" w:rsidRDefault="00EE7A03" w:rsidP="008C664A">
            <w:pPr>
              <w:jc w:val="both"/>
              <w:rPr>
                <w:b/>
                <w:iCs/>
              </w:rPr>
            </w:pPr>
          </w:p>
          <w:p w14:paraId="7DCF7E95" w14:textId="77777777" w:rsidR="00EE7A03" w:rsidRDefault="00EE7A03" w:rsidP="008C664A">
            <w:pPr>
              <w:pStyle w:val="Odstavecseseznamem"/>
              <w:numPr>
                <w:ilvl w:val="0"/>
                <w:numId w:val="3"/>
              </w:numPr>
              <w:jc w:val="both"/>
              <w:rPr>
                <w:b/>
                <w:iCs/>
              </w:rPr>
            </w:pPr>
            <w:r>
              <w:rPr>
                <w:b/>
              </w:rPr>
              <w:t xml:space="preserve">Rozsudek Soudního dvora, věc C-322/16: </w:t>
            </w:r>
            <w:proofErr w:type="spellStart"/>
            <w:r>
              <w:rPr>
                <w:b/>
                <w:i/>
                <w:iCs/>
              </w:rPr>
              <w:t>Global</w:t>
            </w:r>
            <w:proofErr w:type="spellEnd"/>
            <w:r>
              <w:rPr>
                <w:b/>
                <w:i/>
                <w:iCs/>
              </w:rPr>
              <w:t xml:space="preserve"> </w:t>
            </w:r>
            <w:proofErr w:type="spellStart"/>
            <w:r>
              <w:rPr>
                <w:b/>
                <w:i/>
                <w:iCs/>
              </w:rPr>
              <w:t>Starnet</w:t>
            </w:r>
            <w:proofErr w:type="spellEnd"/>
            <w:r>
              <w:rPr>
                <w:b/>
                <w:i/>
                <w:iCs/>
              </w:rPr>
              <w:t xml:space="preserve"> Ltd v. </w:t>
            </w:r>
            <w:proofErr w:type="spellStart"/>
            <w:r>
              <w:rPr>
                <w:b/>
                <w:i/>
                <w:iCs/>
              </w:rPr>
              <w:t>Ministero</w:t>
            </w:r>
            <w:proofErr w:type="spellEnd"/>
            <w:r>
              <w:rPr>
                <w:b/>
                <w:i/>
                <w:iCs/>
              </w:rPr>
              <w:t xml:space="preserve"> </w:t>
            </w:r>
            <w:proofErr w:type="spellStart"/>
            <w:r>
              <w:rPr>
                <w:b/>
                <w:i/>
                <w:iCs/>
              </w:rPr>
              <w:t>dell'Economia</w:t>
            </w:r>
            <w:proofErr w:type="spellEnd"/>
            <w:r>
              <w:rPr>
                <w:b/>
                <w:i/>
                <w:iCs/>
              </w:rPr>
              <w:t xml:space="preserve"> e </w:t>
            </w:r>
            <w:proofErr w:type="spellStart"/>
            <w:r>
              <w:rPr>
                <w:b/>
                <w:i/>
                <w:iCs/>
              </w:rPr>
              <w:t>delle</w:t>
            </w:r>
            <w:proofErr w:type="spellEnd"/>
            <w:r>
              <w:rPr>
                <w:b/>
                <w:i/>
                <w:iCs/>
              </w:rPr>
              <w:t xml:space="preserve"> </w:t>
            </w:r>
            <w:proofErr w:type="spellStart"/>
            <w:r>
              <w:rPr>
                <w:b/>
                <w:i/>
                <w:iCs/>
              </w:rPr>
              <w:t>Finanze</w:t>
            </w:r>
            <w:proofErr w:type="spellEnd"/>
            <w:r w:rsidR="008C664A">
              <w:rPr>
                <w:b/>
                <w:i/>
                <w:iCs/>
              </w:rPr>
              <w:t xml:space="preserve"> a </w:t>
            </w:r>
            <w:proofErr w:type="spellStart"/>
            <w:r>
              <w:rPr>
                <w:b/>
                <w:i/>
                <w:iCs/>
              </w:rPr>
              <w:t>Amministrazione</w:t>
            </w:r>
            <w:proofErr w:type="spellEnd"/>
            <w:r>
              <w:rPr>
                <w:b/>
                <w:i/>
                <w:iCs/>
              </w:rPr>
              <w:t xml:space="preserve"> Autonoma </w:t>
            </w:r>
            <w:proofErr w:type="spellStart"/>
            <w:r>
              <w:rPr>
                <w:b/>
                <w:i/>
                <w:iCs/>
              </w:rPr>
              <w:t>Monopoli</w:t>
            </w:r>
            <w:proofErr w:type="spellEnd"/>
            <w:r>
              <w:rPr>
                <w:b/>
                <w:i/>
                <w:iCs/>
              </w:rPr>
              <w:t xml:space="preserve"> di </w:t>
            </w:r>
            <w:proofErr w:type="spellStart"/>
            <w:r>
              <w:rPr>
                <w:b/>
                <w:i/>
                <w:iCs/>
              </w:rPr>
              <w:t>Stato</w:t>
            </w:r>
            <w:proofErr w:type="spellEnd"/>
          </w:p>
          <w:p w14:paraId="1C381371" w14:textId="77777777" w:rsidR="00EE7A03" w:rsidRDefault="00EE7A03" w:rsidP="008C664A">
            <w:pPr>
              <w:jc w:val="both"/>
              <w:rPr>
                <w:b/>
                <w:iCs/>
                <w:lang w:val="en-US"/>
              </w:rPr>
            </w:pPr>
          </w:p>
          <w:p w14:paraId="2E4E8C86" w14:textId="77777777" w:rsidR="00EE7A03" w:rsidRDefault="00EE7A03" w:rsidP="008C664A">
            <w:pPr>
              <w:jc w:val="both"/>
              <w:rPr>
                <w:i/>
              </w:rPr>
            </w:pPr>
            <w:r>
              <w:rPr>
                <w:i/>
              </w:rPr>
              <w:t>Klíčové pojmy: řízení</w:t>
            </w:r>
            <w:r w:rsidR="008C664A">
              <w:rPr>
                <w:i/>
              </w:rPr>
              <w:t xml:space="preserve"> o </w:t>
            </w:r>
            <w:r>
              <w:rPr>
                <w:i/>
              </w:rPr>
              <w:t>předběžné otázce – volný pohyb služeb, svoboda usazování, volný pohyb kapitálu</w:t>
            </w:r>
            <w:r w:rsidR="008C664A">
              <w:rPr>
                <w:i/>
              </w:rPr>
              <w:t xml:space="preserve"> a </w:t>
            </w:r>
            <w:r>
              <w:rPr>
                <w:i/>
              </w:rPr>
              <w:t>svoboda podnikání – omezení – udělení nových koncesí na provozování her na dálku – zásady právní jistoty</w:t>
            </w:r>
            <w:r w:rsidR="008C664A">
              <w:rPr>
                <w:i/>
              </w:rPr>
              <w:t xml:space="preserve"> a </w:t>
            </w:r>
            <w:r>
              <w:rPr>
                <w:i/>
              </w:rPr>
              <w:t>ochrany legitimního očekávání – nález ústavního soudu – otázka existence povinnosti vnitrostátního soudu předložit věc Soudnímu dvoru</w:t>
            </w:r>
          </w:p>
          <w:p w14:paraId="1671CC8B" w14:textId="77777777" w:rsidR="008C664A" w:rsidRPr="00EE7A03" w:rsidRDefault="008C664A" w:rsidP="008C664A">
            <w:pPr>
              <w:jc w:val="both"/>
              <w:rPr>
                <w:i/>
                <w:iCs/>
                <w:lang w:val="en-US"/>
              </w:rPr>
            </w:pPr>
          </w:p>
        </w:tc>
      </w:tr>
      <w:tr w:rsidR="00664DF4" w:rsidRPr="00470C01" w14:paraId="2D498DAD" w14:textId="77777777" w:rsidTr="00CD2B58">
        <w:tc>
          <w:tcPr>
            <w:tcW w:w="8494" w:type="dxa"/>
          </w:tcPr>
          <w:p w14:paraId="4B58EB59" w14:textId="77777777" w:rsidR="00664DF4" w:rsidRPr="00470C01" w:rsidRDefault="00664DF4" w:rsidP="008C664A">
            <w:pPr>
              <w:jc w:val="both"/>
              <w:rPr>
                <w:rFonts w:ascii="Calibri" w:hAnsi="Calibri" w:cs="Calibri"/>
                <w:b/>
                <w:bCs/>
              </w:rPr>
            </w:pPr>
            <w:r>
              <w:rPr>
                <w:rFonts w:ascii="Calibri" w:hAnsi="Calibri"/>
                <w:b/>
              </w:rPr>
              <w:lastRenderedPageBreak/>
              <w:t>Důležité</w:t>
            </w:r>
          </w:p>
        </w:tc>
      </w:tr>
      <w:tr w:rsidR="00664DF4" w:rsidRPr="00470C01" w14:paraId="7FC5237A" w14:textId="77777777" w:rsidTr="00CD2B58">
        <w:tc>
          <w:tcPr>
            <w:tcW w:w="8494" w:type="dxa"/>
          </w:tcPr>
          <w:p w14:paraId="79CCDF3D" w14:textId="77777777" w:rsidR="00D306E2" w:rsidRDefault="000D3124" w:rsidP="008C664A">
            <w:pPr>
              <w:jc w:val="both"/>
              <w:rPr>
                <w:rFonts w:ascii="Calibri" w:hAnsi="Calibri"/>
              </w:rPr>
            </w:pPr>
            <w:r>
              <w:rPr>
                <w:rFonts w:ascii="Calibri" w:hAnsi="Calibri"/>
              </w:rPr>
              <w:t>Dokumenty</w:t>
            </w:r>
            <w:r w:rsidR="008C664A">
              <w:rPr>
                <w:rFonts w:ascii="Calibri" w:hAnsi="Calibri"/>
              </w:rPr>
              <w:t xml:space="preserve"> o </w:t>
            </w:r>
            <w:r>
              <w:rPr>
                <w:rFonts w:ascii="Calibri" w:hAnsi="Calibri"/>
              </w:rPr>
              <w:t>lidských právech, které prosazují „právo na práci“, téměř nikdy nezpochybňují ani nezkoumají definici „práce“. Práce není jednoduchý pojem. Právo na práci by nemělo být vykládáno tak, že zahrnuje veškeré formy zaměstnání. To je zřejmé zejména tehdy, zkoumáme-li toto právo</w:t>
            </w:r>
            <w:r w:rsidR="008C664A">
              <w:rPr>
                <w:rFonts w:ascii="Calibri" w:hAnsi="Calibri"/>
              </w:rPr>
              <w:t xml:space="preserve"> v </w:t>
            </w:r>
            <w:r>
              <w:rPr>
                <w:rFonts w:ascii="Calibri" w:hAnsi="Calibri"/>
              </w:rPr>
              <w:t>kontextu jeho základních hodnot, kterými jsou seberealizace</w:t>
            </w:r>
            <w:r w:rsidR="008C664A">
              <w:rPr>
                <w:rFonts w:ascii="Calibri" w:hAnsi="Calibri"/>
              </w:rPr>
              <w:t xml:space="preserve"> a </w:t>
            </w:r>
            <w:r>
              <w:rPr>
                <w:rFonts w:ascii="Calibri" w:hAnsi="Calibri"/>
              </w:rPr>
              <w:t>zákaz vykořisťování. Právo na práci může být porušeno vykořisťovatelským zaměstnáním, jak se vykládá,</w:t>
            </w:r>
            <w:r w:rsidR="008C664A">
              <w:rPr>
                <w:rFonts w:ascii="Calibri" w:hAnsi="Calibri"/>
              </w:rPr>
              <w:t xml:space="preserve"> a </w:t>
            </w:r>
            <w:r>
              <w:rPr>
                <w:rFonts w:ascii="Calibri" w:hAnsi="Calibri"/>
              </w:rPr>
              <w:t>proto by se mělo rozlišovat mezi „tvůrčí prací (</w:t>
            </w:r>
            <w:proofErr w:type="spellStart"/>
            <w:r>
              <w:rPr>
                <w:rFonts w:ascii="Calibri" w:hAnsi="Calibri"/>
                <w:i/>
                <w:iCs/>
              </w:rPr>
              <w:t>work</w:t>
            </w:r>
            <w:proofErr w:type="spellEnd"/>
            <w:r>
              <w:rPr>
                <w:rFonts w:ascii="Calibri" w:hAnsi="Calibri"/>
              </w:rPr>
              <w:t>)“</w:t>
            </w:r>
            <w:r w:rsidR="008C664A">
              <w:rPr>
                <w:rFonts w:ascii="Calibri" w:hAnsi="Calibri"/>
              </w:rPr>
              <w:t xml:space="preserve"> a </w:t>
            </w:r>
            <w:r>
              <w:rPr>
                <w:rFonts w:ascii="Calibri" w:hAnsi="Calibri"/>
              </w:rPr>
              <w:t>„námezdní těžkou prací (</w:t>
            </w:r>
            <w:proofErr w:type="spellStart"/>
            <w:r>
              <w:rPr>
                <w:rFonts w:ascii="Calibri" w:hAnsi="Calibri"/>
                <w:i/>
                <w:iCs/>
              </w:rPr>
              <w:t>labour</w:t>
            </w:r>
            <w:proofErr w:type="spellEnd"/>
            <w:r>
              <w:rPr>
                <w:rFonts w:ascii="Calibri" w:hAnsi="Calibri"/>
              </w:rPr>
              <w:t>)“.</w:t>
            </w:r>
            <w:r w:rsidR="008C664A">
              <w:rPr>
                <w:rFonts w:ascii="Calibri" w:hAnsi="Calibri"/>
              </w:rPr>
              <w:t xml:space="preserve"> V </w:t>
            </w:r>
            <w:r>
              <w:rPr>
                <w:rFonts w:ascii="Calibri" w:hAnsi="Calibri"/>
              </w:rPr>
              <w:t>souladu</w:t>
            </w:r>
            <w:r w:rsidR="008C664A">
              <w:rPr>
                <w:rFonts w:ascii="Calibri" w:hAnsi="Calibri"/>
              </w:rPr>
              <w:t xml:space="preserve"> s </w:t>
            </w:r>
            <w:r>
              <w:rPr>
                <w:rFonts w:ascii="Calibri" w:hAnsi="Calibri"/>
              </w:rPr>
              <w:t>přístupem, který zakládá právo na práci na myšlence zákazu vykořisťování, je možné, aby byly některé části práva na práci porušeny, například jsou-li</w:t>
            </w:r>
            <w:r w:rsidR="008C664A">
              <w:rPr>
                <w:rFonts w:ascii="Calibri" w:hAnsi="Calibri"/>
              </w:rPr>
              <w:t xml:space="preserve"> v </w:t>
            </w:r>
            <w:r>
              <w:rPr>
                <w:rFonts w:ascii="Calibri" w:hAnsi="Calibri"/>
              </w:rPr>
              <w:t>práci vykořisťováni pracovníci bez dokladů. Definice „práce“</w:t>
            </w:r>
            <w:r w:rsidR="008C664A">
              <w:rPr>
                <w:rFonts w:ascii="Calibri" w:hAnsi="Calibri"/>
              </w:rPr>
              <w:t xml:space="preserve"> v </w:t>
            </w:r>
            <w:r>
              <w:rPr>
                <w:rFonts w:ascii="Calibri" w:hAnsi="Calibri"/>
              </w:rPr>
              <w:t>Listině je stále pevně založena na námezdní práci coby ekonomické činnosti. Jak ukazuje filozofie lidských práv</w:t>
            </w:r>
            <w:r w:rsidR="008C664A">
              <w:rPr>
                <w:rFonts w:ascii="Calibri" w:hAnsi="Calibri"/>
              </w:rPr>
              <w:t xml:space="preserve"> i </w:t>
            </w:r>
            <w:r>
              <w:rPr>
                <w:rFonts w:ascii="Calibri" w:hAnsi="Calibri"/>
              </w:rPr>
              <w:t>další dokumenty</w:t>
            </w:r>
            <w:r w:rsidR="008C664A">
              <w:rPr>
                <w:rFonts w:ascii="Calibri" w:hAnsi="Calibri"/>
              </w:rPr>
              <w:t xml:space="preserve"> o </w:t>
            </w:r>
            <w:r>
              <w:rPr>
                <w:rFonts w:ascii="Calibri" w:hAnsi="Calibri"/>
              </w:rPr>
              <w:t>lidských právech, jako je Africká charta</w:t>
            </w:r>
            <w:r w:rsidR="008C664A">
              <w:rPr>
                <w:rFonts w:ascii="Calibri" w:hAnsi="Calibri"/>
              </w:rPr>
              <w:t xml:space="preserve"> a </w:t>
            </w:r>
            <w:r>
              <w:rPr>
                <w:rFonts w:ascii="Calibri" w:hAnsi="Calibri"/>
              </w:rPr>
              <w:t>ICESCR, existuje však prostor pro rozšíření práva na práci nad rámec pouhého živobytí</w:t>
            </w:r>
            <w:r w:rsidR="008C664A">
              <w:rPr>
                <w:rFonts w:ascii="Calibri" w:hAnsi="Calibri"/>
              </w:rPr>
              <w:t xml:space="preserve"> a </w:t>
            </w:r>
            <w:r>
              <w:rPr>
                <w:rFonts w:ascii="Calibri" w:hAnsi="Calibri"/>
              </w:rPr>
              <w:t>nad rámec zapojení se do odborného nebo placeného zaměstnání.</w:t>
            </w:r>
          </w:p>
          <w:p w14:paraId="439D2C9C" w14:textId="77777777" w:rsidR="008C664A" w:rsidRPr="00D306E2" w:rsidRDefault="008C664A" w:rsidP="008C664A">
            <w:pPr>
              <w:jc w:val="both"/>
              <w:rPr>
                <w:rFonts w:ascii="Calibri" w:hAnsi="Calibri" w:cs="Calibri"/>
                <w:iCs/>
              </w:rPr>
            </w:pPr>
          </w:p>
        </w:tc>
      </w:tr>
      <w:tr w:rsidR="00664DF4" w:rsidRPr="00470C01" w14:paraId="11CB0081" w14:textId="77777777" w:rsidTr="00CD2B58">
        <w:tc>
          <w:tcPr>
            <w:tcW w:w="8494" w:type="dxa"/>
          </w:tcPr>
          <w:p w14:paraId="48EEF21C" w14:textId="77777777" w:rsidR="00664DF4" w:rsidRPr="00470C01" w:rsidRDefault="00664DF4" w:rsidP="008C664A">
            <w:pPr>
              <w:jc w:val="both"/>
              <w:rPr>
                <w:rFonts w:ascii="Calibri" w:hAnsi="Calibri" w:cs="Calibri"/>
                <w:b/>
                <w:bCs/>
              </w:rPr>
            </w:pPr>
            <w:r>
              <w:rPr>
                <w:rFonts w:ascii="Calibri" w:hAnsi="Calibri"/>
                <w:b/>
              </w:rPr>
              <w:t>Soulad</w:t>
            </w:r>
            <w:r w:rsidR="008C664A">
              <w:rPr>
                <w:rFonts w:ascii="Calibri" w:hAnsi="Calibri"/>
                <w:b/>
              </w:rPr>
              <w:t xml:space="preserve"> s </w:t>
            </w:r>
            <w:r>
              <w:rPr>
                <w:rFonts w:ascii="Calibri" w:hAnsi="Calibri"/>
                <w:b/>
              </w:rPr>
              <w:t>dalšími evropskými/mezinárodními dokumenty</w:t>
            </w:r>
          </w:p>
        </w:tc>
      </w:tr>
      <w:tr w:rsidR="00664DF4" w:rsidRPr="00470C01" w14:paraId="5372741B" w14:textId="77777777" w:rsidTr="00CD2B58">
        <w:tc>
          <w:tcPr>
            <w:tcW w:w="8494" w:type="dxa"/>
          </w:tcPr>
          <w:p w14:paraId="33DF10A8" w14:textId="77777777" w:rsidR="003D0AD2" w:rsidRDefault="00A23517" w:rsidP="008C664A">
            <w:pPr>
              <w:jc w:val="both"/>
              <w:rPr>
                <w:rFonts w:ascii="Calibri" w:hAnsi="Calibri" w:cs="Calibri"/>
              </w:rPr>
            </w:pPr>
            <w:r>
              <w:rPr>
                <w:rFonts w:ascii="Calibri" w:hAnsi="Calibri"/>
              </w:rPr>
              <w:t>Článek 23</w:t>
            </w:r>
            <w:r w:rsidR="008C664A">
              <w:rPr>
                <w:rFonts w:ascii="Calibri" w:hAnsi="Calibri"/>
              </w:rPr>
              <w:t xml:space="preserve"> a </w:t>
            </w:r>
            <w:r>
              <w:rPr>
                <w:rFonts w:ascii="Calibri" w:hAnsi="Calibri"/>
              </w:rPr>
              <w:t>24 UDHR</w:t>
            </w:r>
          </w:p>
          <w:p w14:paraId="0F8ED4ED" w14:textId="77777777" w:rsidR="00A23517" w:rsidRDefault="00A23517" w:rsidP="008C664A">
            <w:pPr>
              <w:jc w:val="both"/>
              <w:rPr>
                <w:rFonts w:ascii="Calibri" w:hAnsi="Calibri" w:cs="Calibri"/>
              </w:rPr>
            </w:pPr>
            <w:r>
              <w:rPr>
                <w:rFonts w:ascii="Calibri" w:hAnsi="Calibri"/>
              </w:rPr>
              <w:t xml:space="preserve">Článek 6–8 ICESCR </w:t>
            </w:r>
          </w:p>
          <w:p w14:paraId="758B3E0B" w14:textId="77777777" w:rsidR="00A23517" w:rsidRDefault="00A23517" w:rsidP="008C664A">
            <w:pPr>
              <w:jc w:val="both"/>
              <w:rPr>
                <w:rFonts w:ascii="Calibri" w:hAnsi="Calibri" w:cs="Calibri"/>
              </w:rPr>
            </w:pPr>
            <w:r>
              <w:rPr>
                <w:rFonts w:ascii="Calibri" w:hAnsi="Calibri"/>
              </w:rPr>
              <w:t>Článek 11 CEDAW</w:t>
            </w:r>
          </w:p>
          <w:p w14:paraId="79D823CE" w14:textId="77777777" w:rsidR="00A23517" w:rsidRDefault="00A23517" w:rsidP="008C664A">
            <w:pPr>
              <w:jc w:val="both"/>
              <w:rPr>
                <w:rFonts w:ascii="Calibri" w:hAnsi="Calibri" w:cs="Calibri"/>
              </w:rPr>
            </w:pPr>
            <w:r>
              <w:rPr>
                <w:rFonts w:ascii="Calibri" w:hAnsi="Calibri"/>
              </w:rPr>
              <w:t>Článek ICERD</w:t>
            </w:r>
          </w:p>
          <w:p w14:paraId="73E280C1" w14:textId="77777777" w:rsidR="008E3D3E" w:rsidRPr="00470C01" w:rsidRDefault="008E3D3E" w:rsidP="008C664A">
            <w:pPr>
              <w:jc w:val="both"/>
              <w:rPr>
                <w:rFonts w:ascii="Calibri" w:hAnsi="Calibri" w:cs="Calibri"/>
                <w:i/>
                <w:iCs/>
                <w:lang w:val="en-US"/>
              </w:rPr>
            </w:pPr>
          </w:p>
        </w:tc>
      </w:tr>
      <w:tr w:rsidR="00664DF4" w:rsidRPr="00470C01" w14:paraId="06B049FA" w14:textId="77777777" w:rsidTr="00CD2B58">
        <w:tc>
          <w:tcPr>
            <w:tcW w:w="8494" w:type="dxa"/>
          </w:tcPr>
          <w:p w14:paraId="68DD23B8" w14:textId="77777777" w:rsidR="00664DF4" w:rsidRPr="00470C01" w:rsidRDefault="00664DF4" w:rsidP="008C664A">
            <w:pPr>
              <w:jc w:val="both"/>
              <w:rPr>
                <w:b/>
                <w:bCs/>
                <w:color w:val="000000" w:themeColor="text1"/>
              </w:rPr>
            </w:pPr>
            <w:r>
              <w:rPr>
                <w:b/>
                <w:color w:val="000000" w:themeColor="text1"/>
              </w:rPr>
              <w:t>Další zdroje</w:t>
            </w:r>
          </w:p>
        </w:tc>
      </w:tr>
      <w:tr w:rsidR="00664DF4" w:rsidRPr="00470C01" w14:paraId="274325CE" w14:textId="77777777" w:rsidTr="00CD2B58">
        <w:tc>
          <w:tcPr>
            <w:tcW w:w="8494" w:type="dxa"/>
          </w:tcPr>
          <w:p w14:paraId="3412A029"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P. </w:t>
            </w:r>
            <w:proofErr w:type="spellStart"/>
            <w:r>
              <w:rPr>
                <w:color w:val="000000" w:themeColor="text1"/>
              </w:rPr>
              <w:t>Alston</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General </w:t>
            </w:r>
            <w:proofErr w:type="spellStart"/>
            <w:r>
              <w:rPr>
                <w:color w:val="000000" w:themeColor="text1"/>
              </w:rPr>
              <w:t>Comments</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UN </w:t>
            </w:r>
            <w:proofErr w:type="spellStart"/>
            <w:r>
              <w:rPr>
                <w:color w:val="000000" w:themeColor="text1"/>
              </w:rPr>
              <w:t>Committee</w:t>
            </w:r>
            <w:proofErr w:type="spellEnd"/>
            <w:r>
              <w:rPr>
                <w:color w:val="000000" w:themeColor="text1"/>
              </w:rPr>
              <w:t xml:space="preserve"> on </w:t>
            </w:r>
            <w:proofErr w:type="spellStart"/>
            <w:r>
              <w:rPr>
                <w:color w:val="000000" w:themeColor="text1"/>
              </w:rPr>
              <w:t>Economic</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and </w:t>
            </w:r>
            <w:proofErr w:type="spellStart"/>
            <w:r>
              <w:rPr>
                <w:color w:val="000000" w:themeColor="text1"/>
              </w:rPr>
              <w:t>Cultural</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w:t>
            </w:r>
            <w:r>
              <w:rPr>
                <w:i/>
                <w:iCs/>
                <w:color w:val="000000" w:themeColor="text1"/>
              </w:rPr>
              <w:t>Obecné komentáře Výboru OSN</w:t>
            </w:r>
            <w:r w:rsidR="008C664A">
              <w:rPr>
                <w:i/>
                <w:iCs/>
                <w:color w:val="000000" w:themeColor="text1"/>
              </w:rPr>
              <w:t xml:space="preserve"> o </w:t>
            </w:r>
            <w:r>
              <w:rPr>
                <w:i/>
                <w:iCs/>
                <w:color w:val="000000" w:themeColor="text1"/>
              </w:rPr>
              <w:t>hospodářských, sociálních</w:t>
            </w:r>
            <w:r w:rsidR="008C664A">
              <w:rPr>
                <w:i/>
                <w:iCs/>
                <w:color w:val="000000" w:themeColor="text1"/>
              </w:rPr>
              <w:t xml:space="preserve"> a </w:t>
            </w:r>
            <w:r>
              <w:rPr>
                <w:i/>
                <w:iCs/>
                <w:color w:val="000000" w:themeColor="text1"/>
              </w:rPr>
              <w:t>kulturních právech</w:t>
            </w:r>
            <w:r>
              <w:rPr>
                <w:color w:val="000000" w:themeColor="text1"/>
              </w:rPr>
              <w:t xml:space="preserve">) (2010) 104 </w:t>
            </w:r>
            <w:proofErr w:type="spellStart"/>
            <w:r>
              <w:rPr>
                <w:color w:val="000000" w:themeColor="text1"/>
              </w:rPr>
              <w:t>Proceedings</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Annual</w:t>
            </w:r>
            <w:proofErr w:type="spellEnd"/>
            <w:r>
              <w:rPr>
                <w:color w:val="000000" w:themeColor="text1"/>
              </w:rPr>
              <w:t xml:space="preserve"> Meeting (</w:t>
            </w:r>
            <w:proofErr w:type="spellStart"/>
            <w:r>
              <w:rPr>
                <w:color w:val="000000" w:themeColor="text1"/>
              </w:rPr>
              <w:t>The</w:t>
            </w:r>
            <w:proofErr w:type="spellEnd"/>
            <w:r>
              <w:rPr>
                <w:color w:val="000000" w:themeColor="text1"/>
              </w:rPr>
              <w:t xml:space="preserve"> </w:t>
            </w:r>
            <w:proofErr w:type="spellStart"/>
            <w:r>
              <w:rPr>
                <w:color w:val="000000" w:themeColor="text1"/>
              </w:rPr>
              <w:t>American</w:t>
            </w:r>
            <w:proofErr w:type="spellEnd"/>
            <w:r>
              <w:rPr>
                <w:color w:val="000000" w:themeColor="text1"/>
              </w:rPr>
              <w:t xml:space="preserve"> Society International </w:t>
            </w:r>
            <w:proofErr w:type="spellStart"/>
            <w:r>
              <w:rPr>
                <w:color w:val="000000" w:themeColor="text1"/>
              </w:rPr>
              <w:t>Law</w:t>
            </w:r>
            <w:proofErr w:type="spellEnd"/>
            <w:r>
              <w:rPr>
                <w:color w:val="000000" w:themeColor="text1"/>
              </w:rPr>
              <w:t>), s. 4–7.</w:t>
            </w:r>
          </w:p>
          <w:p w14:paraId="49972268" w14:textId="77777777" w:rsidR="00B87109" w:rsidRPr="00B87109" w:rsidRDefault="00B87109" w:rsidP="008C664A">
            <w:pPr>
              <w:jc w:val="both"/>
              <w:rPr>
                <w:iCs/>
                <w:color w:val="000000" w:themeColor="text1"/>
                <w:lang w:val="en-US"/>
              </w:rPr>
            </w:pPr>
          </w:p>
          <w:p w14:paraId="460FBDA2"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D </w:t>
            </w:r>
            <w:proofErr w:type="spellStart"/>
            <w:r>
              <w:rPr>
                <w:color w:val="000000" w:themeColor="text1"/>
              </w:rPr>
              <w:t>Ashiagbor</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w:t>
            </w:r>
            <w:r>
              <w:rPr>
                <w:i/>
                <w:iCs/>
                <w:color w:val="000000" w:themeColor="text1"/>
              </w:rPr>
              <w:t>Právo na práci</w:t>
            </w:r>
            <w:r>
              <w:rPr>
                <w:color w:val="000000" w:themeColor="text1"/>
              </w:rPr>
              <w:t xml:space="preserve">) in G de </w:t>
            </w:r>
            <w:proofErr w:type="spellStart"/>
            <w:r>
              <w:rPr>
                <w:color w:val="000000" w:themeColor="text1"/>
              </w:rPr>
              <w:t>Búrca</w:t>
            </w:r>
            <w:proofErr w:type="spellEnd"/>
            <w:r>
              <w:rPr>
                <w:color w:val="000000" w:themeColor="text1"/>
              </w:rPr>
              <w:t xml:space="preserve"> and B de </w:t>
            </w:r>
            <w:proofErr w:type="spellStart"/>
            <w:r>
              <w:rPr>
                <w:color w:val="000000" w:themeColor="text1"/>
              </w:rPr>
              <w:t>Witte</w:t>
            </w:r>
            <w:proofErr w:type="spellEnd"/>
            <w:r>
              <w:rPr>
                <w:color w:val="000000" w:themeColor="text1"/>
              </w:rPr>
              <w:t xml:space="preserve"> </w:t>
            </w:r>
            <w:r>
              <w:rPr>
                <w:color w:val="000000" w:themeColor="text1"/>
              </w:rPr>
              <w:lastRenderedPageBreak/>
              <w:t>(</w:t>
            </w:r>
            <w:proofErr w:type="spellStart"/>
            <w:r>
              <w:rPr>
                <w:color w:val="000000" w:themeColor="text1"/>
              </w:rPr>
              <w:t>eds</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in Europe (Oxford, OUP, 2005). </w:t>
            </w:r>
            <w:proofErr w:type="spellStart"/>
            <w:r>
              <w:rPr>
                <w:color w:val="000000" w:themeColor="text1"/>
              </w:rPr>
              <w:t>The</w:t>
            </w:r>
            <w:proofErr w:type="spellEnd"/>
            <w:r>
              <w:rPr>
                <w:color w:val="000000" w:themeColor="text1"/>
              </w:rPr>
              <w:t xml:space="preserve"> </w:t>
            </w:r>
            <w:proofErr w:type="spellStart"/>
            <w:r>
              <w:rPr>
                <w:color w:val="000000" w:themeColor="text1"/>
              </w:rPr>
              <w:t>European</w:t>
            </w:r>
            <w:proofErr w:type="spellEnd"/>
            <w:r>
              <w:rPr>
                <w:color w:val="000000" w:themeColor="text1"/>
              </w:rPr>
              <w:t xml:space="preserve"> </w:t>
            </w:r>
            <w:proofErr w:type="spellStart"/>
            <w:r>
              <w:rPr>
                <w:color w:val="000000" w:themeColor="text1"/>
              </w:rPr>
              <w:t>Employment</w:t>
            </w:r>
            <w:proofErr w:type="spellEnd"/>
            <w:r>
              <w:rPr>
                <w:color w:val="000000" w:themeColor="text1"/>
              </w:rPr>
              <w:t xml:space="preserve"> </w:t>
            </w:r>
            <w:proofErr w:type="spellStart"/>
            <w:r>
              <w:rPr>
                <w:color w:val="000000" w:themeColor="text1"/>
              </w:rPr>
              <w:t>Strategy</w:t>
            </w:r>
            <w:proofErr w:type="spellEnd"/>
            <w:r>
              <w:rPr>
                <w:color w:val="000000" w:themeColor="text1"/>
              </w:rPr>
              <w:t xml:space="preserve">: </w:t>
            </w:r>
            <w:proofErr w:type="spellStart"/>
            <w:r>
              <w:rPr>
                <w:color w:val="000000" w:themeColor="text1"/>
              </w:rPr>
              <w:t>Labour</w:t>
            </w:r>
            <w:proofErr w:type="spellEnd"/>
            <w:r>
              <w:rPr>
                <w:color w:val="000000" w:themeColor="text1"/>
              </w:rPr>
              <w:t xml:space="preserve"> Market </w:t>
            </w:r>
            <w:proofErr w:type="spellStart"/>
            <w:r>
              <w:rPr>
                <w:color w:val="000000" w:themeColor="text1"/>
              </w:rPr>
              <w:t>Regulation</w:t>
            </w:r>
            <w:proofErr w:type="spellEnd"/>
            <w:r>
              <w:rPr>
                <w:color w:val="000000" w:themeColor="text1"/>
              </w:rPr>
              <w:t xml:space="preserve"> and New </w:t>
            </w:r>
            <w:proofErr w:type="spellStart"/>
            <w:r>
              <w:rPr>
                <w:color w:val="000000" w:themeColor="text1"/>
              </w:rPr>
              <w:t>Governance</w:t>
            </w:r>
            <w:proofErr w:type="spellEnd"/>
            <w:r>
              <w:rPr>
                <w:color w:val="000000" w:themeColor="text1"/>
              </w:rPr>
              <w:t xml:space="preserve"> (Oxford, OUP, 2005).</w:t>
            </w:r>
          </w:p>
          <w:p w14:paraId="64EABF20" w14:textId="77777777" w:rsidR="00B87109" w:rsidRPr="00B87109" w:rsidRDefault="00B87109" w:rsidP="008C664A">
            <w:pPr>
              <w:jc w:val="both"/>
              <w:rPr>
                <w:iCs/>
                <w:color w:val="000000" w:themeColor="text1"/>
                <w:lang w:val="en-US"/>
              </w:rPr>
            </w:pPr>
          </w:p>
          <w:p w14:paraId="1CB30F36"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M Bell, </w:t>
            </w:r>
            <w:proofErr w:type="spellStart"/>
            <w:r>
              <w:rPr>
                <w:color w:val="000000" w:themeColor="text1"/>
              </w:rPr>
              <w:t>Walking</w:t>
            </w:r>
            <w:proofErr w:type="spellEnd"/>
            <w:r>
              <w:rPr>
                <w:color w:val="000000" w:themeColor="text1"/>
              </w:rPr>
              <w:t xml:space="preserve"> in </w:t>
            </w:r>
            <w:proofErr w:type="spellStart"/>
            <w:r>
              <w:rPr>
                <w:color w:val="000000" w:themeColor="text1"/>
              </w:rPr>
              <w:t>the</w:t>
            </w:r>
            <w:proofErr w:type="spellEnd"/>
            <w:r>
              <w:rPr>
                <w:color w:val="000000" w:themeColor="text1"/>
              </w:rPr>
              <w:t xml:space="preserve"> Same </w:t>
            </w:r>
            <w:proofErr w:type="spellStart"/>
            <w:r>
              <w:rPr>
                <w:color w:val="000000" w:themeColor="text1"/>
              </w:rPr>
              <w:t>Direction</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Contribution</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European</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Charter and </w:t>
            </w:r>
            <w:proofErr w:type="spellStart"/>
            <w:r>
              <w:rPr>
                <w:color w:val="000000" w:themeColor="text1"/>
              </w:rPr>
              <w:t>the</w:t>
            </w:r>
            <w:proofErr w:type="spellEnd"/>
            <w:r>
              <w:rPr>
                <w:color w:val="000000" w:themeColor="text1"/>
              </w:rPr>
              <w:t xml:space="preserve"> </w:t>
            </w:r>
            <w:proofErr w:type="spellStart"/>
            <w:r>
              <w:rPr>
                <w:color w:val="000000" w:themeColor="text1"/>
              </w:rPr>
              <w:t>European</w:t>
            </w:r>
            <w:proofErr w:type="spellEnd"/>
            <w:r>
              <w:rPr>
                <w:color w:val="000000" w:themeColor="text1"/>
              </w:rPr>
              <w:t xml:space="preserve"> Union to </w:t>
            </w:r>
            <w:proofErr w:type="spellStart"/>
            <w:r>
              <w:rPr>
                <w:color w:val="000000" w:themeColor="text1"/>
              </w:rPr>
              <w:t>Combating</w:t>
            </w:r>
            <w:proofErr w:type="spellEnd"/>
            <w:r>
              <w:rPr>
                <w:color w:val="000000" w:themeColor="text1"/>
              </w:rPr>
              <w:t xml:space="preserve"> </w:t>
            </w:r>
            <w:proofErr w:type="spellStart"/>
            <w:r>
              <w:rPr>
                <w:color w:val="000000" w:themeColor="text1"/>
              </w:rPr>
              <w:t>Discrimination</w:t>
            </w:r>
            <w:proofErr w:type="spellEnd"/>
            <w:r>
              <w:rPr>
                <w:color w:val="000000" w:themeColor="text1"/>
              </w:rPr>
              <w:t xml:space="preserve"> (</w:t>
            </w:r>
            <w:r>
              <w:rPr>
                <w:i/>
                <w:iCs/>
                <w:color w:val="000000" w:themeColor="text1"/>
              </w:rPr>
              <w:t>Jdeme stejným směrem? Příspěvek Evropské sociální charty</w:t>
            </w:r>
            <w:r w:rsidR="008C664A">
              <w:rPr>
                <w:i/>
                <w:iCs/>
                <w:color w:val="000000" w:themeColor="text1"/>
              </w:rPr>
              <w:t xml:space="preserve"> a </w:t>
            </w:r>
            <w:r>
              <w:rPr>
                <w:i/>
                <w:iCs/>
                <w:color w:val="000000" w:themeColor="text1"/>
              </w:rPr>
              <w:t>Evropské unie</w:t>
            </w:r>
            <w:r w:rsidR="008C664A">
              <w:rPr>
                <w:i/>
                <w:iCs/>
                <w:color w:val="000000" w:themeColor="text1"/>
              </w:rPr>
              <w:t xml:space="preserve"> k </w:t>
            </w:r>
            <w:r>
              <w:rPr>
                <w:i/>
                <w:iCs/>
                <w:color w:val="000000" w:themeColor="text1"/>
              </w:rPr>
              <w:t>boji</w:t>
            </w:r>
            <w:r w:rsidR="008C664A">
              <w:rPr>
                <w:i/>
                <w:iCs/>
                <w:color w:val="000000" w:themeColor="text1"/>
              </w:rPr>
              <w:t xml:space="preserve"> s </w:t>
            </w:r>
            <w:r>
              <w:rPr>
                <w:i/>
                <w:iCs/>
                <w:color w:val="000000" w:themeColor="text1"/>
              </w:rPr>
              <w:t>diskriminací</w:t>
            </w:r>
            <w:r>
              <w:rPr>
                <w:color w:val="000000" w:themeColor="text1"/>
              </w:rPr>
              <w:t xml:space="preserve">) in G de </w:t>
            </w:r>
            <w:proofErr w:type="spellStart"/>
            <w:r>
              <w:rPr>
                <w:color w:val="000000" w:themeColor="text1"/>
              </w:rPr>
              <w:t>Búrca</w:t>
            </w:r>
            <w:proofErr w:type="spellEnd"/>
            <w:r>
              <w:rPr>
                <w:color w:val="000000" w:themeColor="text1"/>
              </w:rPr>
              <w:t xml:space="preserve"> and B de </w:t>
            </w:r>
            <w:proofErr w:type="spellStart"/>
            <w:r>
              <w:rPr>
                <w:color w:val="000000" w:themeColor="text1"/>
              </w:rPr>
              <w:t>Witte</w:t>
            </w:r>
            <w:proofErr w:type="spellEnd"/>
            <w:r>
              <w:rPr>
                <w:color w:val="000000" w:themeColor="text1"/>
              </w:rPr>
              <w:t xml:space="preserve"> (</w:t>
            </w:r>
            <w:proofErr w:type="spellStart"/>
            <w:r>
              <w:rPr>
                <w:color w:val="000000" w:themeColor="text1"/>
              </w:rPr>
              <w:t>eds</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in Europe (Oxford, OUP, 2005).</w:t>
            </w:r>
          </w:p>
          <w:p w14:paraId="1C5B4344" w14:textId="77777777" w:rsidR="00B87109" w:rsidRPr="00B87109" w:rsidRDefault="00B87109" w:rsidP="008C664A">
            <w:pPr>
              <w:jc w:val="both"/>
              <w:rPr>
                <w:iCs/>
                <w:color w:val="000000" w:themeColor="text1"/>
                <w:lang w:val="en-US"/>
              </w:rPr>
            </w:pPr>
          </w:p>
          <w:p w14:paraId="74304777"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H Collins, </w:t>
            </w:r>
            <w:proofErr w:type="spellStart"/>
            <w:r>
              <w:rPr>
                <w:color w:val="000000" w:themeColor="text1"/>
              </w:rPr>
              <w:t>Is</w:t>
            </w:r>
            <w:proofErr w:type="spellEnd"/>
            <w:r>
              <w:rPr>
                <w:color w:val="000000" w:themeColor="text1"/>
              </w:rPr>
              <w:t xml:space="preserve"> </w:t>
            </w:r>
            <w:proofErr w:type="spellStart"/>
            <w:r>
              <w:rPr>
                <w:color w:val="000000" w:themeColor="text1"/>
              </w:rPr>
              <w:t>there</w:t>
            </w:r>
            <w:proofErr w:type="spellEnd"/>
            <w:r w:rsidR="008C664A">
              <w:rPr>
                <w:color w:val="000000" w:themeColor="text1"/>
              </w:rPr>
              <w:t xml:space="preserve"> a </w:t>
            </w:r>
            <w:proofErr w:type="spellStart"/>
            <w:r>
              <w:rPr>
                <w:color w:val="000000" w:themeColor="text1"/>
              </w:rPr>
              <w:t>Human</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w:t>
            </w:r>
            <w:r>
              <w:rPr>
                <w:i/>
                <w:iCs/>
                <w:color w:val="000000" w:themeColor="text1"/>
              </w:rPr>
              <w:t>Existuje lidské právo na práci?</w:t>
            </w:r>
            <w:r>
              <w:rPr>
                <w:color w:val="000000" w:themeColor="text1"/>
              </w:rPr>
              <w:t xml:space="preserve">), in V. </w:t>
            </w:r>
            <w:proofErr w:type="spellStart"/>
            <w:r>
              <w:rPr>
                <w:color w:val="000000" w:themeColor="text1"/>
              </w:rPr>
              <w:t>Mantouvalou</w:t>
            </w:r>
            <w:proofErr w:type="spellEnd"/>
            <w:r>
              <w:rPr>
                <w:color w:val="000000" w:themeColor="text1"/>
              </w:rPr>
              <w:t xml:space="preserve"> (</w:t>
            </w:r>
            <w:proofErr w:type="spellStart"/>
            <w:r>
              <w:rPr>
                <w:color w:val="000000" w:themeColor="text1"/>
              </w:rPr>
              <w:t>ed</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 </w:t>
            </w:r>
            <w:proofErr w:type="spellStart"/>
            <w:r>
              <w:rPr>
                <w:color w:val="000000" w:themeColor="text1"/>
              </w:rPr>
              <w:t>Legal</w:t>
            </w:r>
            <w:proofErr w:type="spellEnd"/>
            <w:r>
              <w:rPr>
                <w:color w:val="000000" w:themeColor="text1"/>
              </w:rPr>
              <w:t xml:space="preserve"> and </w:t>
            </w:r>
            <w:proofErr w:type="spellStart"/>
            <w:r>
              <w:rPr>
                <w:color w:val="000000" w:themeColor="text1"/>
              </w:rPr>
              <w:t>Philosophical</w:t>
            </w:r>
            <w:proofErr w:type="spellEnd"/>
            <w:r>
              <w:rPr>
                <w:color w:val="000000" w:themeColor="text1"/>
              </w:rPr>
              <w:t xml:space="preserve"> </w:t>
            </w:r>
            <w:proofErr w:type="spellStart"/>
            <w:r>
              <w:rPr>
                <w:color w:val="000000" w:themeColor="text1"/>
              </w:rPr>
              <w:t>Perspectives</w:t>
            </w:r>
            <w:proofErr w:type="spellEnd"/>
            <w:r>
              <w:rPr>
                <w:color w:val="000000" w:themeColor="text1"/>
              </w:rPr>
              <w:t xml:space="preserve"> (Oxford, Hart, 2015).</w:t>
            </w:r>
          </w:p>
          <w:p w14:paraId="7B32902C"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M </w:t>
            </w:r>
            <w:proofErr w:type="spellStart"/>
            <w:r>
              <w:rPr>
                <w:color w:val="000000" w:themeColor="text1"/>
              </w:rPr>
              <w:t>Craven</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International Covenant on </w:t>
            </w:r>
            <w:proofErr w:type="spellStart"/>
            <w:r>
              <w:rPr>
                <w:color w:val="000000" w:themeColor="text1"/>
              </w:rPr>
              <w:t>Economic</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and </w:t>
            </w:r>
            <w:proofErr w:type="spellStart"/>
            <w:r>
              <w:rPr>
                <w:color w:val="000000" w:themeColor="text1"/>
              </w:rPr>
              <w:t>Cultural</w:t>
            </w:r>
            <w:proofErr w:type="spellEnd"/>
            <w:r>
              <w:rPr>
                <w:color w:val="000000" w:themeColor="text1"/>
              </w:rPr>
              <w:t xml:space="preserve"> </w:t>
            </w:r>
            <w:proofErr w:type="spellStart"/>
            <w:r>
              <w:rPr>
                <w:color w:val="000000" w:themeColor="text1"/>
              </w:rPr>
              <w:t>Rights</w:t>
            </w:r>
            <w:proofErr w:type="spellEnd"/>
            <w:r>
              <w:rPr>
                <w:color w:val="000000" w:themeColor="text1"/>
              </w:rPr>
              <w:t>:</w:t>
            </w:r>
            <w:r w:rsidR="008C664A">
              <w:rPr>
                <w:color w:val="000000" w:themeColor="text1"/>
              </w:rPr>
              <w:t xml:space="preserve"> A </w:t>
            </w:r>
            <w:proofErr w:type="spellStart"/>
            <w:r>
              <w:rPr>
                <w:color w:val="000000" w:themeColor="text1"/>
              </w:rPr>
              <w:t>perspective</w:t>
            </w:r>
            <w:proofErr w:type="spellEnd"/>
            <w:r>
              <w:rPr>
                <w:color w:val="000000" w:themeColor="text1"/>
              </w:rPr>
              <w:t xml:space="preserve"> on </w:t>
            </w:r>
            <w:proofErr w:type="spellStart"/>
            <w:r>
              <w:rPr>
                <w:color w:val="000000" w:themeColor="text1"/>
              </w:rPr>
              <w:t>its</w:t>
            </w:r>
            <w:proofErr w:type="spellEnd"/>
            <w:r>
              <w:rPr>
                <w:color w:val="000000" w:themeColor="text1"/>
              </w:rPr>
              <w:t xml:space="preserve"> development (</w:t>
            </w:r>
            <w:r>
              <w:rPr>
                <w:i/>
                <w:iCs/>
                <w:color w:val="000000" w:themeColor="text1"/>
              </w:rPr>
              <w:t>Mezinárodní pakt</w:t>
            </w:r>
            <w:r w:rsidR="008C664A">
              <w:rPr>
                <w:i/>
                <w:iCs/>
                <w:color w:val="000000" w:themeColor="text1"/>
              </w:rPr>
              <w:t xml:space="preserve"> o </w:t>
            </w:r>
            <w:r>
              <w:rPr>
                <w:i/>
                <w:iCs/>
                <w:color w:val="000000" w:themeColor="text1"/>
              </w:rPr>
              <w:t>hospodářských, sociálních</w:t>
            </w:r>
            <w:r w:rsidR="008C664A">
              <w:rPr>
                <w:i/>
                <w:iCs/>
                <w:color w:val="000000" w:themeColor="text1"/>
              </w:rPr>
              <w:t xml:space="preserve"> a </w:t>
            </w:r>
            <w:r>
              <w:rPr>
                <w:i/>
                <w:iCs/>
                <w:color w:val="000000" w:themeColor="text1"/>
              </w:rPr>
              <w:t>kulturních právech: perspektiva jeho vývoje</w:t>
            </w:r>
            <w:r>
              <w:rPr>
                <w:color w:val="000000" w:themeColor="text1"/>
              </w:rPr>
              <w:t xml:space="preserve">) (Oxford, </w:t>
            </w:r>
            <w:proofErr w:type="spellStart"/>
            <w:r>
              <w:rPr>
                <w:color w:val="000000" w:themeColor="text1"/>
              </w:rPr>
              <w:t>Clarendon</w:t>
            </w:r>
            <w:proofErr w:type="spellEnd"/>
            <w:r>
              <w:rPr>
                <w:color w:val="000000" w:themeColor="text1"/>
              </w:rPr>
              <w:t xml:space="preserve"> </w:t>
            </w:r>
            <w:proofErr w:type="spellStart"/>
            <w:r>
              <w:rPr>
                <w:color w:val="000000" w:themeColor="text1"/>
              </w:rPr>
              <w:t>Press</w:t>
            </w:r>
            <w:proofErr w:type="spellEnd"/>
            <w:r>
              <w:rPr>
                <w:color w:val="000000" w:themeColor="text1"/>
              </w:rPr>
              <w:t>, 1998).</w:t>
            </w:r>
          </w:p>
          <w:p w14:paraId="5DD1D035" w14:textId="77777777" w:rsidR="00B87109" w:rsidRPr="00B87109" w:rsidRDefault="00B87109" w:rsidP="008C664A">
            <w:pPr>
              <w:jc w:val="both"/>
              <w:rPr>
                <w:iCs/>
                <w:color w:val="000000" w:themeColor="text1"/>
                <w:lang w:val="en-US"/>
              </w:rPr>
            </w:pPr>
          </w:p>
          <w:p w14:paraId="552D7491"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S </w:t>
            </w:r>
            <w:proofErr w:type="spellStart"/>
            <w:r>
              <w:rPr>
                <w:color w:val="000000" w:themeColor="text1"/>
              </w:rPr>
              <w:t>Deakin</w:t>
            </w:r>
            <w:proofErr w:type="spellEnd"/>
            <w:r>
              <w:rPr>
                <w:color w:val="000000" w:themeColor="text1"/>
              </w:rPr>
              <w:t xml:space="preserve">, </w:t>
            </w:r>
            <w:proofErr w:type="spellStart"/>
            <w:r>
              <w:rPr>
                <w:color w:val="000000" w:themeColor="text1"/>
              </w:rPr>
              <w:t>Article</w:t>
            </w:r>
            <w:proofErr w:type="spellEnd"/>
            <w:r>
              <w:rPr>
                <w:color w:val="000000" w:themeColor="text1"/>
              </w:rPr>
              <w:t xml:space="preserve"> 1 –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w:t>
            </w:r>
            <w:r>
              <w:rPr>
                <w:i/>
                <w:iCs/>
                <w:color w:val="000000" w:themeColor="text1"/>
              </w:rPr>
              <w:t>Článek 1 – Právo na práci</w:t>
            </w:r>
            <w:r>
              <w:rPr>
                <w:color w:val="000000" w:themeColor="text1"/>
              </w:rPr>
              <w:t xml:space="preserve">), in N. </w:t>
            </w:r>
            <w:proofErr w:type="spellStart"/>
            <w:r>
              <w:rPr>
                <w:color w:val="000000" w:themeColor="text1"/>
              </w:rPr>
              <w:t>Bruun</w:t>
            </w:r>
            <w:proofErr w:type="spellEnd"/>
            <w:r>
              <w:rPr>
                <w:color w:val="000000" w:themeColor="text1"/>
              </w:rPr>
              <w:t xml:space="preserve">, K. </w:t>
            </w:r>
            <w:proofErr w:type="spellStart"/>
            <w:r>
              <w:rPr>
                <w:color w:val="000000" w:themeColor="text1"/>
              </w:rPr>
              <w:t>Lorcher</w:t>
            </w:r>
            <w:proofErr w:type="spellEnd"/>
            <w:r>
              <w:rPr>
                <w:color w:val="000000" w:themeColor="text1"/>
              </w:rPr>
              <w:t xml:space="preserve">, I. </w:t>
            </w:r>
            <w:proofErr w:type="spellStart"/>
            <w:r>
              <w:rPr>
                <w:color w:val="000000" w:themeColor="text1"/>
              </w:rPr>
              <w:t>Schoemann</w:t>
            </w:r>
            <w:proofErr w:type="spellEnd"/>
            <w:r>
              <w:rPr>
                <w:color w:val="000000" w:themeColor="text1"/>
              </w:rPr>
              <w:t xml:space="preserve"> and S. </w:t>
            </w:r>
            <w:proofErr w:type="spellStart"/>
            <w:r>
              <w:rPr>
                <w:color w:val="000000" w:themeColor="text1"/>
              </w:rPr>
              <w:t>Clauwaert</w:t>
            </w:r>
            <w:proofErr w:type="spellEnd"/>
            <w:r>
              <w:rPr>
                <w:color w:val="000000" w:themeColor="text1"/>
              </w:rPr>
              <w:t xml:space="preserve"> (</w:t>
            </w:r>
            <w:proofErr w:type="spellStart"/>
            <w:r>
              <w:rPr>
                <w:color w:val="000000" w:themeColor="text1"/>
              </w:rPr>
              <w:t>eds</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European</w:t>
            </w:r>
            <w:proofErr w:type="spellEnd"/>
            <w:r>
              <w:rPr>
                <w:color w:val="000000" w:themeColor="text1"/>
              </w:rPr>
              <w:t xml:space="preserve"> </w:t>
            </w:r>
            <w:proofErr w:type="spellStart"/>
            <w:r>
              <w:rPr>
                <w:color w:val="000000" w:themeColor="text1"/>
              </w:rPr>
              <w:t>Social</w:t>
            </w:r>
            <w:proofErr w:type="spellEnd"/>
            <w:r>
              <w:rPr>
                <w:color w:val="000000" w:themeColor="text1"/>
              </w:rPr>
              <w:t xml:space="preserve"> Charter and </w:t>
            </w:r>
            <w:proofErr w:type="spellStart"/>
            <w:r>
              <w:rPr>
                <w:color w:val="000000" w:themeColor="text1"/>
              </w:rPr>
              <w:t>the</w:t>
            </w:r>
            <w:proofErr w:type="spellEnd"/>
            <w:r>
              <w:rPr>
                <w:color w:val="000000" w:themeColor="text1"/>
              </w:rPr>
              <w:t xml:space="preserve"> </w:t>
            </w:r>
            <w:proofErr w:type="spellStart"/>
            <w:r>
              <w:rPr>
                <w:color w:val="000000" w:themeColor="text1"/>
              </w:rPr>
              <w:t>Employment</w:t>
            </w:r>
            <w:proofErr w:type="spellEnd"/>
            <w:r>
              <w:rPr>
                <w:color w:val="000000" w:themeColor="text1"/>
              </w:rPr>
              <w:t xml:space="preserve"> </w:t>
            </w:r>
            <w:proofErr w:type="spellStart"/>
            <w:r>
              <w:rPr>
                <w:color w:val="000000" w:themeColor="text1"/>
              </w:rPr>
              <w:t>Relation</w:t>
            </w:r>
            <w:proofErr w:type="spellEnd"/>
            <w:r>
              <w:rPr>
                <w:color w:val="000000" w:themeColor="text1"/>
              </w:rPr>
              <w:t xml:space="preserve"> (Oxford: Hart, 2017), s. 147</w:t>
            </w:r>
          </w:p>
          <w:p w14:paraId="4BDDCD6B" w14:textId="77777777" w:rsidR="00B87109" w:rsidRPr="00B87109" w:rsidRDefault="00B87109" w:rsidP="008C664A">
            <w:pPr>
              <w:jc w:val="both"/>
              <w:rPr>
                <w:iCs/>
                <w:color w:val="000000" w:themeColor="text1"/>
                <w:lang w:val="en-US"/>
              </w:rPr>
            </w:pPr>
          </w:p>
          <w:p w14:paraId="171E6D8C"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J </w:t>
            </w:r>
            <w:proofErr w:type="spellStart"/>
            <w:r>
              <w:rPr>
                <w:color w:val="000000" w:themeColor="text1"/>
              </w:rPr>
              <w:t>Elster</w:t>
            </w:r>
            <w:proofErr w:type="spellEnd"/>
            <w:r>
              <w:rPr>
                <w:color w:val="000000" w:themeColor="text1"/>
              </w:rPr>
              <w:t xml:space="preserve">, </w:t>
            </w:r>
            <w:proofErr w:type="spellStart"/>
            <w:r>
              <w:rPr>
                <w:color w:val="000000" w:themeColor="text1"/>
              </w:rPr>
              <w:t>Self-realization</w:t>
            </w:r>
            <w:proofErr w:type="spellEnd"/>
            <w:r>
              <w:rPr>
                <w:color w:val="000000" w:themeColor="text1"/>
              </w:rPr>
              <w:t xml:space="preserve"> in </w:t>
            </w:r>
            <w:proofErr w:type="spellStart"/>
            <w:r>
              <w:rPr>
                <w:color w:val="000000" w:themeColor="text1"/>
              </w:rPr>
              <w:t>Work</w:t>
            </w:r>
            <w:proofErr w:type="spellEnd"/>
            <w:r>
              <w:rPr>
                <w:color w:val="000000" w:themeColor="text1"/>
              </w:rPr>
              <w:t xml:space="preserve"> and </w:t>
            </w:r>
            <w:proofErr w:type="spellStart"/>
            <w:r>
              <w:rPr>
                <w:color w:val="000000" w:themeColor="text1"/>
              </w:rPr>
              <w:t>Politics</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Marxist</w:t>
            </w:r>
            <w:proofErr w:type="spellEnd"/>
            <w:r>
              <w:rPr>
                <w:color w:val="000000" w:themeColor="text1"/>
              </w:rPr>
              <w:t xml:space="preserve"> </w:t>
            </w:r>
            <w:proofErr w:type="spellStart"/>
            <w:r>
              <w:rPr>
                <w:color w:val="000000" w:themeColor="text1"/>
              </w:rPr>
              <w:t>Conception</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Good</w:t>
            </w:r>
            <w:proofErr w:type="spellEnd"/>
            <w:r>
              <w:rPr>
                <w:color w:val="000000" w:themeColor="text1"/>
              </w:rPr>
              <w:t xml:space="preserve"> </w:t>
            </w:r>
            <w:proofErr w:type="spellStart"/>
            <w:r>
              <w:rPr>
                <w:color w:val="000000" w:themeColor="text1"/>
              </w:rPr>
              <w:t>Life</w:t>
            </w:r>
            <w:proofErr w:type="spellEnd"/>
            <w:r>
              <w:rPr>
                <w:color w:val="000000" w:themeColor="text1"/>
              </w:rPr>
              <w:t xml:space="preserve"> (</w:t>
            </w:r>
            <w:r>
              <w:rPr>
                <w:i/>
                <w:iCs/>
                <w:color w:val="000000" w:themeColor="text1"/>
              </w:rPr>
              <w:t>Seberealizace</w:t>
            </w:r>
            <w:r w:rsidR="008C664A">
              <w:rPr>
                <w:i/>
                <w:iCs/>
                <w:color w:val="000000" w:themeColor="text1"/>
              </w:rPr>
              <w:t xml:space="preserve"> v </w:t>
            </w:r>
            <w:r>
              <w:rPr>
                <w:i/>
                <w:iCs/>
                <w:color w:val="000000" w:themeColor="text1"/>
              </w:rPr>
              <w:t>práci</w:t>
            </w:r>
            <w:r w:rsidR="008C664A">
              <w:rPr>
                <w:i/>
                <w:iCs/>
                <w:color w:val="000000" w:themeColor="text1"/>
              </w:rPr>
              <w:t xml:space="preserve"> a </w:t>
            </w:r>
            <w:r>
              <w:rPr>
                <w:i/>
                <w:iCs/>
                <w:color w:val="000000" w:themeColor="text1"/>
              </w:rPr>
              <w:t>politice: marxistické pojetí dobrého života</w:t>
            </w:r>
            <w:r>
              <w:rPr>
                <w:color w:val="000000" w:themeColor="text1"/>
              </w:rPr>
              <w:t xml:space="preserve">) (1986) </w:t>
            </w:r>
            <w:proofErr w:type="spellStart"/>
            <w:r>
              <w:rPr>
                <w:color w:val="000000" w:themeColor="text1"/>
              </w:rPr>
              <w:t>Social</w:t>
            </w:r>
            <w:proofErr w:type="spellEnd"/>
            <w:r>
              <w:rPr>
                <w:color w:val="000000" w:themeColor="text1"/>
              </w:rPr>
              <w:t xml:space="preserve"> </w:t>
            </w:r>
            <w:proofErr w:type="spellStart"/>
            <w:r>
              <w:rPr>
                <w:color w:val="000000" w:themeColor="text1"/>
              </w:rPr>
              <w:t>Philosophy</w:t>
            </w:r>
            <w:proofErr w:type="spellEnd"/>
            <w:r>
              <w:rPr>
                <w:color w:val="000000" w:themeColor="text1"/>
              </w:rPr>
              <w:t xml:space="preserve"> &amp; </w:t>
            </w:r>
            <w:proofErr w:type="spellStart"/>
            <w:r>
              <w:rPr>
                <w:color w:val="000000" w:themeColor="text1"/>
              </w:rPr>
              <w:t>Policy</w:t>
            </w:r>
            <w:proofErr w:type="spellEnd"/>
            <w:r>
              <w:rPr>
                <w:color w:val="000000" w:themeColor="text1"/>
              </w:rPr>
              <w:t xml:space="preserve">, s. 97–126. </w:t>
            </w:r>
            <w:proofErr w:type="spellStart"/>
            <w:r>
              <w:rPr>
                <w:color w:val="000000" w:themeColor="text1"/>
              </w:rPr>
              <w:t>Is</w:t>
            </w:r>
            <w:proofErr w:type="spellEnd"/>
            <w:r>
              <w:rPr>
                <w:color w:val="000000" w:themeColor="text1"/>
              </w:rPr>
              <w:t xml:space="preserve"> </w:t>
            </w:r>
            <w:proofErr w:type="spellStart"/>
            <w:r>
              <w:rPr>
                <w:color w:val="000000" w:themeColor="text1"/>
              </w:rPr>
              <w:t>there</w:t>
            </w:r>
            <w:proofErr w:type="spellEnd"/>
            <w:r>
              <w:rPr>
                <w:color w:val="000000" w:themeColor="text1"/>
              </w:rPr>
              <w:t xml:space="preserve"> (</w:t>
            </w:r>
            <w:proofErr w:type="spellStart"/>
            <w:r>
              <w:rPr>
                <w:color w:val="000000" w:themeColor="text1"/>
              </w:rPr>
              <w:t>or</w:t>
            </w:r>
            <w:proofErr w:type="spellEnd"/>
            <w:r>
              <w:rPr>
                <w:color w:val="000000" w:themeColor="text1"/>
              </w:rPr>
              <w:t xml:space="preserve"> </w:t>
            </w:r>
            <w:proofErr w:type="spellStart"/>
            <w:r>
              <w:rPr>
                <w:color w:val="000000" w:themeColor="text1"/>
              </w:rPr>
              <w:t>should</w:t>
            </w:r>
            <w:proofErr w:type="spellEnd"/>
            <w:r>
              <w:rPr>
                <w:color w:val="000000" w:themeColor="text1"/>
              </w:rPr>
              <w:t xml:space="preserve"> </w:t>
            </w:r>
            <w:proofErr w:type="spellStart"/>
            <w:r>
              <w:rPr>
                <w:color w:val="000000" w:themeColor="text1"/>
              </w:rPr>
              <w:t>there</w:t>
            </w:r>
            <w:proofErr w:type="spellEnd"/>
            <w:r>
              <w:rPr>
                <w:color w:val="000000" w:themeColor="text1"/>
              </w:rPr>
              <w:t xml:space="preserve"> </w:t>
            </w:r>
            <w:proofErr w:type="spellStart"/>
            <w:r>
              <w:rPr>
                <w:color w:val="000000" w:themeColor="text1"/>
              </w:rPr>
              <w:t>be</w:t>
            </w:r>
            <w:proofErr w:type="spellEnd"/>
            <w:r>
              <w:rPr>
                <w:color w:val="000000" w:themeColor="text1"/>
              </w:rPr>
              <w:t>)</w:t>
            </w:r>
            <w:r w:rsidR="008C664A">
              <w:rPr>
                <w:color w:val="000000" w:themeColor="text1"/>
              </w:rPr>
              <w:t xml:space="preserve"> a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w:t>
            </w:r>
            <w:r>
              <w:rPr>
                <w:i/>
                <w:iCs/>
                <w:color w:val="000000" w:themeColor="text1"/>
              </w:rPr>
              <w:t>Existuje (nebo mělo by existovat právo na práci?</w:t>
            </w:r>
            <w:r>
              <w:rPr>
                <w:color w:val="000000" w:themeColor="text1"/>
              </w:rPr>
              <w:t>) in</w:t>
            </w:r>
            <w:r w:rsidR="008C664A">
              <w:rPr>
                <w:color w:val="000000" w:themeColor="text1"/>
              </w:rPr>
              <w:t xml:space="preserve"> A </w:t>
            </w:r>
            <w:proofErr w:type="spellStart"/>
            <w:r>
              <w:rPr>
                <w:color w:val="000000" w:themeColor="text1"/>
              </w:rPr>
              <w:t>Gutmann</w:t>
            </w:r>
            <w:proofErr w:type="spellEnd"/>
            <w:r>
              <w:rPr>
                <w:color w:val="000000" w:themeColor="text1"/>
              </w:rPr>
              <w:t xml:space="preserve"> (</w:t>
            </w:r>
            <w:proofErr w:type="spellStart"/>
            <w:r>
              <w:rPr>
                <w:color w:val="000000" w:themeColor="text1"/>
              </w:rPr>
              <w:t>ed</w:t>
            </w:r>
            <w:proofErr w:type="spellEnd"/>
            <w:r>
              <w:rPr>
                <w:color w:val="000000" w:themeColor="text1"/>
              </w:rPr>
              <w:t xml:space="preserve">), </w:t>
            </w:r>
            <w:proofErr w:type="spellStart"/>
            <w:r>
              <w:rPr>
                <w:color w:val="000000" w:themeColor="text1"/>
              </w:rPr>
              <w:t>Democracy</w:t>
            </w:r>
            <w:proofErr w:type="spellEnd"/>
            <w:r>
              <w:rPr>
                <w:color w:val="000000" w:themeColor="text1"/>
              </w:rPr>
              <w:t xml:space="preserve"> and </w:t>
            </w:r>
            <w:proofErr w:type="spellStart"/>
            <w:r>
              <w:rPr>
                <w:color w:val="000000" w:themeColor="text1"/>
              </w:rPr>
              <w:t>the</w:t>
            </w:r>
            <w:proofErr w:type="spellEnd"/>
            <w:r>
              <w:rPr>
                <w:color w:val="000000" w:themeColor="text1"/>
              </w:rPr>
              <w:t xml:space="preserve"> </w:t>
            </w:r>
            <w:proofErr w:type="spellStart"/>
            <w:r>
              <w:rPr>
                <w:color w:val="000000" w:themeColor="text1"/>
              </w:rPr>
              <w:t>Welfare</w:t>
            </w:r>
            <w:proofErr w:type="spellEnd"/>
            <w:r>
              <w:rPr>
                <w:color w:val="000000" w:themeColor="text1"/>
              </w:rPr>
              <w:t xml:space="preserve"> </w:t>
            </w:r>
            <w:proofErr w:type="spellStart"/>
            <w:r>
              <w:rPr>
                <w:color w:val="000000" w:themeColor="text1"/>
              </w:rPr>
              <w:t>State</w:t>
            </w:r>
            <w:proofErr w:type="spellEnd"/>
            <w:r>
              <w:rPr>
                <w:color w:val="000000" w:themeColor="text1"/>
              </w:rPr>
              <w:t xml:space="preserve"> (</w:t>
            </w:r>
            <w:proofErr w:type="spellStart"/>
            <w:r>
              <w:rPr>
                <w:color w:val="000000" w:themeColor="text1"/>
              </w:rPr>
              <w:t>Princeton</w:t>
            </w:r>
            <w:proofErr w:type="spellEnd"/>
            <w:r>
              <w:rPr>
                <w:color w:val="000000" w:themeColor="text1"/>
              </w:rPr>
              <w:t xml:space="preserve">, </w:t>
            </w:r>
            <w:proofErr w:type="spellStart"/>
            <w:r>
              <w:rPr>
                <w:color w:val="000000" w:themeColor="text1"/>
              </w:rPr>
              <w:t>Princeton</w:t>
            </w:r>
            <w:proofErr w:type="spellEnd"/>
            <w:r>
              <w:rPr>
                <w:color w:val="000000" w:themeColor="text1"/>
              </w:rPr>
              <w:t xml:space="preserve"> University </w:t>
            </w:r>
            <w:proofErr w:type="spellStart"/>
            <w:r>
              <w:rPr>
                <w:color w:val="000000" w:themeColor="text1"/>
              </w:rPr>
              <w:t>Press</w:t>
            </w:r>
            <w:proofErr w:type="spellEnd"/>
            <w:r>
              <w:rPr>
                <w:color w:val="000000" w:themeColor="text1"/>
              </w:rPr>
              <w:t>, 1988).</w:t>
            </w:r>
          </w:p>
          <w:p w14:paraId="055D4803" w14:textId="77777777" w:rsidR="00B87109" w:rsidRPr="00B87109" w:rsidRDefault="00B87109" w:rsidP="008C664A">
            <w:pPr>
              <w:jc w:val="both"/>
              <w:rPr>
                <w:iCs/>
                <w:color w:val="000000" w:themeColor="text1"/>
                <w:lang w:val="en-US"/>
              </w:rPr>
            </w:pPr>
          </w:p>
          <w:p w14:paraId="66A05EC0"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E </w:t>
            </w:r>
            <w:proofErr w:type="spellStart"/>
            <w:r>
              <w:rPr>
                <w:color w:val="000000" w:themeColor="text1"/>
              </w:rPr>
              <w:t>Frantziou</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Horizontal</w:t>
            </w:r>
            <w:proofErr w:type="spellEnd"/>
            <w:r>
              <w:rPr>
                <w:color w:val="000000" w:themeColor="text1"/>
              </w:rPr>
              <w:t xml:space="preserve"> </w:t>
            </w:r>
            <w:proofErr w:type="spellStart"/>
            <w:r>
              <w:rPr>
                <w:color w:val="000000" w:themeColor="text1"/>
              </w:rPr>
              <w:t>Effect</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Fundamental</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in </w:t>
            </w:r>
            <w:proofErr w:type="spellStart"/>
            <w:r>
              <w:rPr>
                <w:color w:val="000000" w:themeColor="text1"/>
              </w:rPr>
              <w:t>the</w:t>
            </w:r>
            <w:proofErr w:type="spellEnd"/>
            <w:r>
              <w:rPr>
                <w:color w:val="000000" w:themeColor="text1"/>
              </w:rPr>
              <w:t xml:space="preserve"> </w:t>
            </w:r>
            <w:proofErr w:type="spellStart"/>
            <w:r>
              <w:rPr>
                <w:color w:val="000000" w:themeColor="text1"/>
              </w:rPr>
              <w:t>European</w:t>
            </w:r>
            <w:proofErr w:type="spellEnd"/>
            <w:r>
              <w:rPr>
                <w:color w:val="000000" w:themeColor="text1"/>
              </w:rPr>
              <w:t xml:space="preserve"> Union:</w:t>
            </w:r>
            <w:r w:rsidR="008C664A">
              <w:rPr>
                <w:color w:val="000000" w:themeColor="text1"/>
              </w:rPr>
              <w:t xml:space="preserve"> A </w:t>
            </w:r>
            <w:proofErr w:type="spellStart"/>
            <w:r>
              <w:rPr>
                <w:color w:val="000000" w:themeColor="text1"/>
              </w:rPr>
              <w:t>Constitutional</w:t>
            </w:r>
            <w:proofErr w:type="spellEnd"/>
            <w:r>
              <w:rPr>
                <w:color w:val="000000" w:themeColor="text1"/>
              </w:rPr>
              <w:t xml:space="preserve"> </w:t>
            </w:r>
            <w:proofErr w:type="spellStart"/>
            <w:r>
              <w:rPr>
                <w:color w:val="000000" w:themeColor="text1"/>
              </w:rPr>
              <w:t>Analysis</w:t>
            </w:r>
            <w:proofErr w:type="spellEnd"/>
            <w:r>
              <w:rPr>
                <w:color w:val="000000" w:themeColor="text1"/>
              </w:rPr>
              <w:t xml:space="preserve"> (</w:t>
            </w:r>
            <w:r>
              <w:rPr>
                <w:i/>
                <w:iCs/>
                <w:color w:val="000000" w:themeColor="text1"/>
              </w:rPr>
              <w:t>Horizontální účinek základních práv</w:t>
            </w:r>
            <w:r w:rsidR="008C664A">
              <w:rPr>
                <w:i/>
                <w:iCs/>
                <w:color w:val="000000" w:themeColor="text1"/>
              </w:rPr>
              <w:t xml:space="preserve"> v </w:t>
            </w:r>
            <w:r>
              <w:rPr>
                <w:i/>
                <w:iCs/>
                <w:color w:val="000000" w:themeColor="text1"/>
              </w:rPr>
              <w:t>Evropské unii: ústavněprávní analýza</w:t>
            </w:r>
            <w:r>
              <w:rPr>
                <w:color w:val="000000" w:themeColor="text1"/>
              </w:rPr>
              <w:t>) (OUP 2019).</w:t>
            </w:r>
          </w:p>
          <w:p w14:paraId="315FC66A" w14:textId="77777777" w:rsidR="00B87109" w:rsidRPr="00B87109" w:rsidRDefault="00B87109" w:rsidP="008C664A">
            <w:pPr>
              <w:jc w:val="both"/>
              <w:rPr>
                <w:iCs/>
                <w:color w:val="000000" w:themeColor="text1"/>
                <w:lang w:val="en-US"/>
              </w:rPr>
            </w:pPr>
          </w:p>
          <w:p w14:paraId="424BA21B" w14:textId="77777777" w:rsidR="00B87109" w:rsidRPr="00F60CCD" w:rsidRDefault="00B87109" w:rsidP="008C664A">
            <w:pPr>
              <w:pStyle w:val="Odstavecseseznamem"/>
              <w:numPr>
                <w:ilvl w:val="0"/>
                <w:numId w:val="6"/>
              </w:numPr>
              <w:jc w:val="both"/>
              <w:rPr>
                <w:iCs/>
                <w:color w:val="000000" w:themeColor="text1"/>
              </w:rPr>
            </w:pPr>
            <w:r>
              <w:rPr>
                <w:color w:val="000000" w:themeColor="text1"/>
              </w:rPr>
              <w:t xml:space="preserve">B </w:t>
            </w:r>
            <w:proofErr w:type="spellStart"/>
            <w:r>
              <w:rPr>
                <w:color w:val="000000" w:themeColor="text1"/>
              </w:rPr>
              <w:t>Hepple</w:t>
            </w:r>
            <w:proofErr w:type="spellEnd"/>
            <w:r>
              <w:rPr>
                <w:color w:val="000000" w:themeColor="text1"/>
              </w:rPr>
              <w:t>,</w:t>
            </w:r>
            <w:r w:rsidR="008C664A">
              <w:rPr>
                <w:color w:val="000000" w:themeColor="text1"/>
              </w:rPr>
              <w:t xml:space="preserve"> A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w:t>
            </w:r>
            <w:r>
              <w:rPr>
                <w:i/>
                <w:iCs/>
                <w:color w:val="000000" w:themeColor="text1"/>
              </w:rPr>
              <w:t>Právo na práci?</w:t>
            </w:r>
            <w:r>
              <w:rPr>
                <w:color w:val="000000" w:themeColor="text1"/>
              </w:rPr>
              <w:t xml:space="preserve">) (1981) 10(1) </w:t>
            </w:r>
            <w:proofErr w:type="spellStart"/>
            <w:r>
              <w:rPr>
                <w:color w:val="000000" w:themeColor="text1"/>
              </w:rPr>
              <w:t>Industrial</w:t>
            </w:r>
            <w:proofErr w:type="spellEnd"/>
            <w:r>
              <w:rPr>
                <w:color w:val="000000" w:themeColor="text1"/>
              </w:rPr>
              <w:t xml:space="preserve"> </w:t>
            </w:r>
            <w:proofErr w:type="spellStart"/>
            <w:r>
              <w:rPr>
                <w:color w:val="000000" w:themeColor="text1"/>
              </w:rPr>
              <w:t>Law</w:t>
            </w:r>
            <w:proofErr w:type="spellEnd"/>
            <w:r>
              <w:rPr>
                <w:color w:val="000000" w:themeColor="text1"/>
              </w:rPr>
              <w:t xml:space="preserve"> </w:t>
            </w:r>
            <w:proofErr w:type="spellStart"/>
            <w:r>
              <w:rPr>
                <w:color w:val="000000" w:themeColor="text1"/>
              </w:rPr>
              <w:t>Journal</w:t>
            </w:r>
            <w:proofErr w:type="spellEnd"/>
            <w:r>
              <w:rPr>
                <w:color w:val="000000" w:themeColor="text1"/>
              </w:rPr>
              <w:t>, s. 65–83.</w:t>
            </w:r>
          </w:p>
          <w:p w14:paraId="6A96B83A" w14:textId="77777777" w:rsidR="00F60CCD" w:rsidRDefault="00F60CCD" w:rsidP="008C664A">
            <w:pPr>
              <w:pStyle w:val="Odstavecseseznamem"/>
              <w:jc w:val="both"/>
              <w:rPr>
                <w:iCs/>
                <w:color w:val="000000" w:themeColor="text1"/>
              </w:rPr>
            </w:pPr>
          </w:p>
          <w:p w14:paraId="332681C8"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D </w:t>
            </w:r>
            <w:proofErr w:type="spellStart"/>
            <w:r>
              <w:rPr>
                <w:color w:val="000000" w:themeColor="text1"/>
              </w:rPr>
              <w:t>Little</w:t>
            </w:r>
            <w:proofErr w:type="spellEnd"/>
            <w:r>
              <w:rPr>
                <w:color w:val="000000" w:themeColor="text1"/>
              </w:rPr>
              <w:t xml:space="preserve">, Job </w:t>
            </w:r>
            <w:proofErr w:type="spellStart"/>
            <w:r>
              <w:rPr>
                <w:color w:val="000000" w:themeColor="text1"/>
              </w:rPr>
              <w:t>Elster</w:t>
            </w:r>
            <w:proofErr w:type="spellEnd"/>
            <w:r>
              <w:rPr>
                <w:color w:val="000000" w:themeColor="text1"/>
              </w:rPr>
              <w:t xml:space="preserve"> in W </w:t>
            </w:r>
            <w:proofErr w:type="spellStart"/>
            <w:r>
              <w:rPr>
                <w:color w:val="000000" w:themeColor="text1"/>
              </w:rPr>
              <w:t>Samuels</w:t>
            </w:r>
            <w:proofErr w:type="spellEnd"/>
            <w:r>
              <w:rPr>
                <w:color w:val="000000" w:themeColor="text1"/>
              </w:rPr>
              <w:t xml:space="preserve"> (</w:t>
            </w:r>
            <w:proofErr w:type="spellStart"/>
            <w:r>
              <w:rPr>
                <w:color w:val="000000" w:themeColor="text1"/>
              </w:rPr>
              <w:t>ed</w:t>
            </w:r>
            <w:proofErr w:type="spellEnd"/>
            <w:r>
              <w:rPr>
                <w:color w:val="000000" w:themeColor="text1"/>
              </w:rPr>
              <w:t xml:space="preserve">), New </w:t>
            </w:r>
            <w:proofErr w:type="spellStart"/>
            <w:r>
              <w:rPr>
                <w:color w:val="000000" w:themeColor="text1"/>
              </w:rPr>
              <w:t>Horizons</w:t>
            </w:r>
            <w:proofErr w:type="spellEnd"/>
            <w:r>
              <w:rPr>
                <w:color w:val="000000" w:themeColor="text1"/>
              </w:rPr>
              <w:t xml:space="preserve"> in </w:t>
            </w:r>
            <w:proofErr w:type="spellStart"/>
            <w:r>
              <w:rPr>
                <w:color w:val="000000" w:themeColor="text1"/>
              </w:rPr>
              <w:t>Economic</w:t>
            </w:r>
            <w:proofErr w:type="spellEnd"/>
            <w:r>
              <w:rPr>
                <w:color w:val="000000" w:themeColor="text1"/>
              </w:rPr>
              <w:t xml:space="preserve"> </w:t>
            </w:r>
            <w:proofErr w:type="spellStart"/>
            <w:r>
              <w:rPr>
                <w:color w:val="000000" w:themeColor="text1"/>
              </w:rPr>
              <w:t>Thought</w:t>
            </w:r>
            <w:proofErr w:type="spellEnd"/>
            <w:r>
              <w:rPr>
                <w:color w:val="000000" w:themeColor="text1"/>
              </w:rPr>
              <w:t xml:space="preserve">: </w:t>
            </w:r>
            <w:proofErr w:type="spellStart"/>
            <w:r>
              <w:rPr>
                <w:color w:val="000000" w:themeColor="text1"/>
              </w:rPr>
              <w:t>Appraisals</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Leading</w:t>
            </w:r>
            <w:proofErr w:type="spellEnd"/>
            <w:r>
              <w:rPr>
                <w:color w:val="000000" w:themeColor="text1"/>
              </w:rPr>
              <w:t xml:space="preserve"> </w:t>
            </w:r>
            <w:proofErr w:type="spellStart"/>
            <w:r>
              <w:rPr>
                <w:color w:val="000000" w:themeColor="text1"/>
              </w:rPr>
              <w:t>Economists</w:t>
            </w:r>
            <w:proofErr w:type="spellEnd"/>
            <w:r>
              <w:rPr>
                <w:color w:val="000000" w:themeColor="text1"/>
              </w:rPr>
              <w:t xml:space="preserve"> (</w:t>
            </w:r>
            <w:proofErr w:type="spellStart"/>
            <w:r>
              <w:rPr>
                <w:color w:val="000000" w:themeColor="text1"/>
              </w:rPr>
              <w:t>Cheltenham</w:t>
            </w:r>
            <w:proofErr w:type="spellEnd"/>
            <w:r>
              <w:rPr>
                <w:color w:val="000000" w:themeColor="text1"/>
              </w:rPr>
              <w:t xml:space="preserve">, Edward </w:t>
            </w:r>
            <w:proofErr w:type="spellStart"/>
            <w:r>
              <w:rPr>
                <w:color w:val="000000" w:themeColor="text1"/>
              </w:rPr>
              <w:t>Elgar</w:t>
            </w:r>
            <w:proofErr w:type="spellEnd"/>
            <w:r>
              <w:rPr>
                <w:color w:val="000000" w:themeColor="text1"/>
              </w:rPr>
              <w:t xml:space="preserve"> </w:t>
            </w:r>
            <w:proofErr w:type="spellStart"/>
            <w:r>
              <w:rPr>
                <w:color w:val="000000" w:themeColor="text1"/>
              </w:rPr>
              <w:t>Publishing</w:t>
            </w:r>
            <w:proofErr w:type="spellEnd"/>
            <w:r>
              <w:rPr>
                <w:color w:val="000000" w:themeColor="text1"/>
              </w:rPr>
              <w:t>, 1992).</w:t>
            </w:r>
          </w:p>
          <w:p w14:paraId="674DA108" w14:textId="77777777" w:rsidR="00B87109" w:rsidRPr="00B87109" w:rsidRDefault="00B87109" w:rsidP="008C664A">
            <w:pPr>
              <w:jc w:val="both"/>
              <w:rPr>
                <w:iCs/>
                <w:color w:val="000000" w:themeColor="text1"/>
                <w:lang w:val="en-US"/>
              </w:rPr>
            </w:pPr>
          </w:p>
          <w:p w14:paraId="2827A5C5"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V </w:t>
            </w:r>
            <w:proofErr w:type="spellStart"/>
            <w:r>
              <w:rPr>
                <w:color w:val="000000" w:themeColor="text1"/>
              </w:rPr>
              <w:t>Mantouvalou</w:t>
            </w:r>
            <w:proofErr w:type="spellEnd"/>
            <w:r>
              <w:rPr>
                <w:color w:val="000000" w:themeColor="text1"/>
              </w:rPr>
              <w:t xml:space="preserve"> (</w:t>
            </w:r>
            <w:proofErr w:type="spellStart"/>
            <w:r>
              <w:rPr>
                <w:color w:val="000000" w:themeColor="text1"/>
              </w:rPr>
              <w:t>ed</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w:t>
            </w:r>
            <w:proofErr w:type="spellStart"/>
            <w:r>
              <w:rPr>
                <w:color w:val="000000" w:themeColor="text1"/>
              </w:rPr>
              <w:t>Legal</w:t>
            </w:r>
            <w:proofErr w:type="spellEnd"/>
            <w:r>
              <w:rPr>
                <w:color w:val="000000" w:themeColor="text1"/>
              </w:rPr>
              <w:t xml:space="preserve"> and </w:t>
            </w:r>
            <w:proofErr w:type="spellStart"/>
            <w:r>
              <w:rPr>
                <w:color w:val="000000" w:themeColor="text1"/>
              </w:rPr>
              <w:t>Philosophical</w:t>
            </w:r>
            <w:proofErr w:type="spellEnd"/>
            <w:r>
              <w:rPr>
                <w:color w:val="000000" w:themeColor="text1"/>
              </w:rPr>
              <w:t xml:space="preserve"> </w:t>
            </w:r>
            <w:proofErr w:type="spellStart"/>
            <w:r>
              <w:rPr>
                <w:color w:val="000000" w:themeColor="text1"/>
              </w:rPr>
              <w:t>Perspectives</w:t>
            </w:r>
            <w:proofErr w:type="spellEnd"/>
            <w:r>
              <w:rPr>
                <w:color w:val="000000" w:themeColor="text1"/>
              </w:rPr>
              <w:t xml:space="preserve"> (Oxford, Hart, 2015), </w:t>
            </w:r>
            <w:proofErr w:type="spellStart"/>
            <w:r>
              <w:rPr>
                <w:color w:val="000000" w:themeColor="text1"/>
              </w:rPr>
              <w:t>Work</w:t>
            </w:r>
            <w:proofErr w:type="spellEnd"/>
            <w:r>
              <w:rPr>
                <w:color w:val="000000" w:themeColor="text1"/>
              </w:rPr>
              <w:t xml:space="preserve"> and </w:t>
            </w:r>
            <w:proofErr w:type="spellStart"/>
            <w:r>
              <w:rPr>
                <w:color w:val="000000" w:themeColor="text1"/>
              </w:rPr>
              <w:t>Private</w:t>
            </w:r>
            <w:proofErr w:type="spellEnd"/>
            <w:r>
              <w:rPr>
                <w:color w:val="000000" w:themeColor="text1"/>
              </w:rPr>
              <w:t xml:space="preserve"> </w:t>
            </w:r>
            <w:proofErr w:type="spellStart"/>
            <w:r>
              <w:rPr>
                <w:color w:val="000000" w:themeColor="text1"/>
              </w:rPr>
              <w:t>Life</w:t>
            </w:r>
            <w:proofErr w:type="spellEnd"/>
            <w:r>
              <w:rPr>
                <w:color w:val="000000" w:themeColor="text1"/>
              </w:rPr>
              <w:t xml:space="preserve">: </w:t>
            </w:r>
            <w:proofErr w:type="spellStart"/>
            <w:r>
              <w:rPr>
                <w:color w:val="000000" w:themeColor="text1"/>
              </w:rPr>
              <w:t>Sidabras</w:t>
            </w:r>
            <w:proofErr w:type="spellEnd"/>
            <w:r>
              <w:rPr>
                <w:color w:val="000000" w:themeColor="text1"/>
              </w:rPr>
              <w:t xml:space="preserve"> and </w:t>
            </w:r>
            <w:proofErr w:type="spellStart"/>
            <w:r>
              <w:rPr>
                <w:color w:val="000000" w:themeColor="text1"/>
              </w:rPr>
              <w:t>Dziautas</w:t>
            </w:r>
            <w:proofErr w:type="spellEnd"/>
            <w:r w:rsidR="008C664A">
              <w:rPr>
                <w:color w:val="000000" w:themeColor="text1"/>
              </w:rPr>
              <w:t xml:space="preserve"> v </w:t>
            </w:r>
            <w:proofErr w:type="spellStart"/>
            <w:r>
              <w:rPr>
                <w:color w:val="000000" w:themeColor="text1"/>
              </w:rPr>
              <w:t>Lithuania</w:t>
            </w:r>
            <w:proofErr w:type="spellEnd"/>
            <w:r>
              <w:rPr>
                <w:color w:val="000000" w:themeColor="text1"/>
              </w:rPr>
              <w:t xml:space="preserve"> (</w:t>
            </w:r>
            <w:r>
              <w:rPr>
                <w:i/>
                <w:iCs/>
                <w:color w:val="000000" w:themeColor="text1"/>
              </w:rPr>
              <w:t>Práce</w:t>
            </w:r>
            <w:r w:rsidR="008C664A">
              <w:rPr>
                <w:i/>
                <w:iCs/>
                <w:color w:val="000000" w:themeColor="text1"/>
              </w:rPr>
              <w:t xml:space="preserve"> a </w:t>
            </w:r>
            <w:r>
              <w:rPr>
                <w:i/>
                <w:iCs/>
                <w:color w:val="000000" w:themeColor="text1"/>
              </w:rPr>
              <w:t xml:space="preserve">soukromý život: </w:t>
            </w:r>
            <w:proofErr w:type="spellStart"/>
            <w:r>
              <w:rPr>
                <w:i/>
                <w:iCs/>
                <w:color w:val="000000" w:themeColor="text1"/>
              </w:rPr>
              <w:t>Sidabras</w:t>
            </w:r>
            <w:proofErr w:type="spellEnd"/>
            <w:r w:rsidR="008C664A">
              <w:rPr>
                <w:i/>
                <w:iCs/>
                <w:color w:val="000000" w:themeColor="text1"/>
              </w:rPr>
              <w:t xml:space="preserve"> a </w:t>
            </w:r>
            <w:proofErr w:type="spellStart"/>
            <w:r>
              <w:rPr>
                <w:i/>
                <w:iCs/>
                <w:color w:val="000000" w:themeColor="text1"/>
              </w:rPr>
              <w:t>Dziautas</w:t>
            </w:r>
            <w:proofErr w:type="spellEnd"/>
            <w:r>
              <w:rPr>
                <w:i/>
                <w:iCs/>
                <w:color w:val="000000" w:themeColor="text1"/>
              </w:rPr>
              <w:t xml:space="preserve"> proti Litvě</w:t>
            </w:r>
            <w:r>
              <w:rPr>
                <w:color w:val="000000" w:themeColor="text1"/>
              </w:rPr>
              <w:t xml:space="preserve">), (2005) </w:t>
            </w:r>
            <w:proofErr w:type="spellStart"/>
            <w:r>
              <w:rPr>
                <w:color w:val="000000" w:themeColor="text1"/>
              </w:rPr>
              <w:t>European</w:t>
            </w:r>
            <w:proofErr w:type="spellEnd"/>
            <w:r>
              <w:rPr>
                <w:color w:val="000000" w:themeColor="text1"/>
              </w:rPr>
              <w:t xml:space="preserve"> </w:t>
            </w:r>
            <w:proofErr w:type="spellStart"/>
            <w:r>
              <w:rPr>
                <w:color w:val="000000" w:themeColor="text1"/>
              </w:rPr>
              <w:t>Law</w:t>
            </w:r>
            <w:proofErr w:type="spellEnd"/>
            <w:r>
              <w:rPr>
                <w:color w:val="000000" w:themeColor="text1"/>
              </w:rPr>
              <w:t xml:space="preserve"> </w:t>
            </w:r>
            <w:proofErr w:type="spellStart"/>
            <w:r>
              <w:rPr>
                <w:color w:val="000000" w:themeColor="text1"/>
              </w:rPr>
              <w:t>Review</w:t>
            </w:r>
            <w:proofErr w:type="spellEnd"/>
            <w:r>
              <w:rPr>
                <w:color w:val="000000" w:themeColor="text1"/>
              </w:rPr>
              <w:t>, s. 575</w:t>
            </w:r>
          </w:p>
          <w:p w14:paraId="140F45B2" w14:textId="77777777" w:rsidR="00B87109" w:rsidRPr="00B87109" w:rsidRDefault="00B87109" w:rsidP="008C664A">
            <w:pPr>
              <w:jc w:val="both"/>
              <w:rPr>
                <w:iCs/>
                <w:color w:val="000000" w:themeColor="text1"/>
                <w:lang w:val="en-US"/>
              </w:rPr>
            </w:pPr>
          </w:p>
          <w:p w14:paraId="28F169F3"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G </w:t>
            </w:r>
            <w:proofErr w:type="spellStart"/>
            <w:r>
              <w:rPr>
                <w:color w:val="000000" w:themeColor="text1"/>
              </w:rPr>
              <w:t>Mundlak</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w:t>
            </w:r>
            <w:proofErr w:type="spellStart"/>
            <w:r>
              <w:rPr>
                <w:color w:val="000000" w:themeColor="text1"/>
              </w:rPr>
              <w:t>Linking</w:t>
            </w:r>
            <w:proofErr w:type="spellEnd"/>
            <w:r>
              <w:rPr>
                <w:color w:val="000000" w:themeColor="text1"/>
              </w:rPr>
              <w:t xml:space="preserve"> </w:t>
            </w:r>
            <w:proofErr w:type="spellStart"/>
            <w:r>
              <w:rPr>
                <w:color w:val="000000" w:themeColor="text1"/>
              </w:rPr>
              <w:t>human</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and </w:t>
            </w:r>
            <w:proofErr w:type="spellStart"/>
            <w:r>
              <w:rPr>
                <w:color w:val="000000" w:themeColor="text1"/>
              </w:rPr>
              <w:t>employment</w:t>
            </w:r>
            <w:proofErr w:type="spellEnd"/>
            <w:r>
              <w:rPr>
                <w:color w:val="000000" w:themeColor="text1"/>
              </w:rPr>
              <w:t xml:space="preserve"> </w:t>
            </w:r>
            <w:proofErr w:type="spellStart"/>
            <w:r>
              <w:rPr>
                <w:color w:val="000000" w:themeColor="text1"/>
              </w:rPr>
              <w:t>policy</w:t>
            </w:r>
            <w:proofErr w:type="spellEnd"/>
            <w:r>
              <w:rPr>
                <w:color w:val="000000" w:themeColor="text1"/>
              </w:rPr>
              <w:t xml:space="preserve"> (</w:t>
            </w:r>
            <w:r>
              <w:rPr>
                <w:i/>
                <w:iCs/>
                <w:color w:val="000000" w:themeColor="text1"/>
              </w:rPr>
              <w:t>Právo na práci: Propojení lidských práv</w:t>
            </w:r>
            <w:r w:rsidR="008C664A">
              <w:rPr>
                <w:i/>
                <w:iCs/>
                <w:color w:val="000000" w:themeColor="text1"/>
              </w:rPr>
              <w:t xml:space="preserve"> a </w:t>
            </w:r>
            <w:r>
              <w:rPr>
                <w:i/>
                <w:iCs/>
                <w:color w:val="000000" w:themeColor="text1"/>
              </w:rPr>
              <w:t>politiky zaměstnanosti</w:t>
            </w:r>
            <w:r>
              <w:rPr>
                <w:color w:val="000000" w:themeColor="text1"/>
              </w:rPr>
              <w:t xml:space="preserve">) (2007), </w:t>
            </w:r>
            <w:r>
              <w:rPr>
                <w:color w:val="000000" w:themeColor="text1"/>
              </w:rPr>
              <w:lastRenderedPageBreak/>
              <w:t xml:space="preserve">146(3–4) International </w:t>
            </w:r>
            <w:proofErr w:type="spellStart"/>
            <w:r>
              <w:rPr>
                <w:color w:val="000000" w:themeColor="text1"/>
              </w:rPr>
              <w:t>Labour</w:t>
            </w:r>
            <w:proofErr w:type="spellEnd"/>
            <w:r>
              <w:rPr>
                <w:color w:val="000000" w:themeColor="text1"/>
              </w:rPr>
              <w:t xml:space="preserve"> </w:t>
            </w:r>
            <w:proofErr w:type="spellStart"/>
            <w:r>
              <w:rPr>
                <w:color w:val="000000" w:themeColor="text1"/>
              </w:rPr>
              <w:t>Review</w:t>
            </w:r>
            <w:proofErr w:type="spellEnd"/>
            <w:r>
              <w:rPr>
                <w:color w:val="000000" w:themeColor="text1"/>
              </w:rPr>
              <w:t>, s. 189–215.</w:t>
            </w:r>
          </w:p>
          <w:p w14:paraId="507A502A" w14:textId="77777777" w:rsidR="00B87109" w:rsidRPr="00B87109" w:rsidRDefault="00B87109" w:rsidP="008C664A">
            <w:pPr>
              <w:jc w:val="both"/>
              <w:rPr>
                <w:iCs/>
                <w:color w:val="000000" w:themeColor="text1"/>
                <w:lang w:val="en-US"/>
              </w:rPr>
            </w:pPr>
          </w:p>
          <w:p w14:paraId="7F6240A2" w14:textId="77777777" w:rsidR="00B87109" w:rsidRPr="00B87109" w:rsidRDefault="00B87109" w:rsidP="008C664A">
            <w:pPr>
              <w:pStyle w:val="Odstavecseseznamem"/>
              <w:numPr>
                <w:ilvl w:val="0"/>
                <w:numId w:val="6"/>
              </w:numPr>
              <w:jc w:val="both"/>
              <w:rPr>
                <w:iCs/>
                <w:color w:val="000000" w:themeColor="text1"/>
              </w:rPr>
            </w:pPr>
            <w:r>
              <w:rPr>
                <w:color w:val="000000" w:themeColor="text1"/>
              </w:rPr>
              <w:t xml:space="preserve">C </w:t>
            </w:r>
            <w:proofErr w:type="spellStart"/>
            <w:r>
              <w:rPr>
                <w:color w:val="000000" w:themeColor="text1"/>
              </w:rPr>
              <w:t>O’Cinneide</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in International </w:t>
            </w:r>
            <w:proofErr w:type="spellStart"/>
            <w:r>
              <w:rPr>
                <w:color w:val="000000" w:themeColor="text1"/>
              </w:rPr>
              <w:t>Human</w:t>
            </w:r>
            <w:proofErr w:type="spellEnd"/>
            <w:r>
              <w:rPr>
                <w:color w:val="000000" w:themeColor="text1"/>
              </w:rPr>
              <w:t xml:space="preserve"> </w:t>
            </w:r>
            <w:proofErr w:type="spellStart"/>
            <w:r>
              <w:rPr>
                <w:color w:val="000000" w:themeColor="text1"/>
              </w:rPr>
              <w:t>Rights</w:t>
            </w:r>
            <w:proofErr w:type="spellEnd"/>
            <w:r>
              <w:rPr>
                <w:color w:val="000000" w:themeColor="text1"/>
              </w:rPr>
              <w:t xml:space="preserve"> </w:t>
            </w:r>
            <w:proofErr w:type="spellStart"/>
            <w:r>
              <w:rPr>
                <w:color w:val="000000" w:themeColor="text1"/>
              </w:rPr>
              <w:t>Law</w:t>
            </w:r>
            <w:proofErr w:type="spellEnd"/>
            <w:r>
              <w:rPr>
                <w:color w:val="000000" w:themeColor="text1"/>
              </w:rPr>
              <w:t xml:space="preserve"> (</w:t>
            </w:r>
            <w:r>
              <w:rPr>
                <w:i/>
                <w:iCs/>
                <w:color w:val="000000" w:themeColor="text1"/>
              </w:rPr>
              <w:t>Právo na práci</w:t>
            </w:r>
            <w:r w:rsidR="008C664A">
              <w:rPr>
                <w:i/>
                <w:iCs/>
                <w:color w:val="000000" w:themeColor="text1"/>
              </w:rPr>
              <w:t xml:space="preserve"> v </w:t>
            </w:r>
            <w:r>
              <w:rPr>
                <w:i/>
                <w:iCs/>
                <w:color w:val="000000" w:themeColor="text1"/>
              </w:rPr>
              <w:t>mezinárodních lidskoprávních normách</w:t>
            </w:r>
            <w:r>
              <w:rPr>
                <w:color w:val="000000" w:themeColor="text1"/>
              </w:rPr>
              <w:t xml:space="preserve">), V. </w:t>
            </w:r>
            <w:proofErr w:type="spellStart"/>
            <w:r>
              <w:rPr>
                <w:color w:val="000000" w:themeColor="text1"/>
              </w:rPr>
              <w:t>Mantouvalou</w:t>
            </w:r>
            <w:proofErr w:type="spellEnd"/>
            <w:r>
              <w:rPr>
                <w:color w:val="000000" w:themeColor="text1"/>
              </w:rPr>
              <w:t xml:space="preserve"> (</w:t>
            </w:r>
            <w:proofErr w:type="spellStart"/>
            <w:r>
              <w:rPr>
                <w:color w:val="000000" w:themeColor="text1"/>
              </w:rPr>
              <w:t>ed</w:t>
            </w:r>
            <w:proofErr w:type="spellEnd"/>
            <w:r>
              <w:rPr>
                <w:color w:val="000000" w:themeColor="text1"/>
              </w:rPr>
              <w:t xml:space="preserve">) </w:t>
            </w:r>
            <w:proofErr w:type="spellStart"/>
            <w:r>
              <w:rPr>
                <w:color w:val="000000" w:themeColor="text1"/>
              </w:rPr>
              <w:t>The</w:t>
            </w:r>
            <w:proofErr w:type="spellEnd"/>
            <w:r>
              <w:rPr>
                <w:color w:val="000000" w:themeColor="text1"/>
              </w:rPr>
              <w:t xml:space="preserve"> </w:t>
            </w:r>
            <w:proofErr w:type="spellStart"/>
            <w:r>
              <w:rPr>
                <w:color w:val="000000" w:themeColor="text1"/>
              </w:rPr>
              <w:t>Right</w:t>
            </w:r>
            <w:proofErr w:type="spellEnd"/>
            <w:r>
              <w:rPr>
                <w:color w:val="000000" w:themeColor="text1"/>
              </w:rPr>
              <w:t xml:space="preserve"> to </w:t>
            </w:r>
            <w:proofErr w:type="spellStart"/>
            <w:r>
              <w:rPr>
                <w:color w:val="000000" w:themeColor="text1"/>
              </w:rPr>
              <w:t>Work</w:t>
            </w:r>
            <w:proofErr w:type="spellEnd"/>
            <w:r>
              <w:rPr>
                <w:color w:val="000000" w:themeColor="text1"/>
              </w:rPr>
              <w:t xml:space="preserve"> – </w:t>
            </w:r>
            <w:proofErr w:type="spellStart"/>
            <w:r>
              <w:rPr>
                <w:color w:val="000000" w:themeColor="text1"/>
              </w:rPr>
              <w:t>Legal</w:t>
            </w:r>
            <w:proofErr w:type="spellEnd"/>
            <w:r>
              <w:rPr>
                <w:color w:val="000000" w:themeColor="text1"/>
              </w:rPr>
              <w:t xml:space="preserve"> and </w:t>
            </w:r>
            <w:proofErr w:type="spellStart"/>
            <w:r>
              <w:rPr>
                <w:color w:val="000000" w:themeColor="text1"/>
              </w:rPr>
              <w:t>Philosophical</w:t>
            </w:r>
            <w:proofErr w:type="spellEnd"/>
            <w:r>
              <w:rPr>
                <w:color w:val="000000" w:themeColor="text1"/>
              </w:rPr>
              <w:t xml:space="preserve"> </w:t>
            </w:r>
            <w:proofErr w:type="spellStart"/>
            <w:r>
              <w:rPr>
                <w:color w:val="000000" w:themeColor="text1"/>
              </w:rPr>
              <w:t>Perspectives</w:t>
            </w:r>
            <w:proofErr w:type="spellEnd"/>
            <w:r>
              <w:rPr>
                <w:color w:val="000000" w:themeColor="text1"/>
              </w:rPr>
              <w:t xml:space="preserve"> (Oxford, Hart, 2015).</w:t>
            </w:r>
          </w:p>
          <w:p w14:paraId="77567DD6" w14:textId="77777777" w:rsidR="00B87109" w:rsidRPr="00B87109" w:rsidRDefault="00B87109" w:rsidP="008C664A">
            <w:pPr>
              <w:jc w:val="both"/>
              <w:rPr>
                <w:iCs/>
                <w:color w:val="000000" w:themeColor="text1"/>
                <w:lang w:val="en-US"/>
              </w:rPr>
            </w:pPr>
          </w:p>
          <w:p w14:paraId="4C2665AA" w14:textId="77777777" w:rsidR="00083BE2" w:rsidRPr="00B87109" w:rsidRDefault="00B87109" w:rsidP="008C664A">
            <w:pPr>
              <w:pStyle w:val="Odstavecseseznamem"/>
              <w:numPr>
                <w:ilvl w:val="0"/>
                <w:numId w:val="6"/>
              </w:numPr>
              <w:jc w:val="both"/>
              <w:rPr>
                <w:iCs/>
                <w:color w:val="000000" w:themeColor="text1"/>
              </w:rPr>
            </w:pPr>
            <w:r>
              <w:rPr>
                <w:color w:val="000000" w:themeColor="text1"/>
              </w:rPr>
              <w:t xml:space="preserve">A </w:t>
            </w:r>
            <w:proofErr w:type="spellStart"/>
            <w:r>
              <w:rPr>
                <w:color w:val="000000" w:themeColor="text1"/>
              </w:rPr>
              <w:t>Supiot</w:t>
            </w:r>
            <w:proofErr w:type="spellEnd"/>
            <w:r>
              <w:rPr>
                <w:color w:val="000000" w:themeColor="text1"/>
              </w:rPr>
              <w:t xml:space="preserve"> et al, </w:t>
            </w:r>
            <w:proofErr w:type="spellStart"/>
            <w:r>
              <w:rPr>
                <w:color w:val="000000" w:themeColor="text1"/>
              </w:rPr>
              <w:t>Beyond</w:t>
            </w:r>
            <w:proofErr w:type="spellEnd"/>
            <w:r>
              <w:rPr>
                <w:color w:val="000000" w:themeColor="text1"/>
              </w:rPr>
              <w:t xml:space="preserve"> </w:t>
            </w:r>
            <w:proofErr w:type="spellStart"/>
            <w:r>
              <w:rPr>
                <w:color w:val="000000" w:themeColor="text1"/>
              </w:rPr>
              <w:t>Employment</w:t>
            </w:r>
            <w:proofErr w:type="spellEnd"/>
            <w:r>
              <w:rPr>
                <w:color w:val="000000" w:themeColor="text1"/>
              </w:rPr>
              <w:t xml:space="preserve">: </w:t>
            </w:r>
            <w:proofErr w:type="spellStart"/>
            <w:r>
              <w:rPr>
                <w:color w:val="000000" w:themeColor="text1"/>
              </w:rPr>
              <w:t>Changes</w:t>
            </w:r>
            <w:proofErr w:type="spellEnd"/>
            <w:r>
              <w:rPr>
                <w:color w:val="000000" w:themeColor="text1"/>
              </w:rPr>
              <w:t xml:space="preserve"> in </w:t>
            </w:r>
            <w:proofErr w:type="spellStart"/>
            <w:r>
              <w:rPr>
                <w:color w:val="000000" w:themeColor="text1"/>
              </w:rPr>
              <w:t>Work</w:t>
            </w:r>
            <w:proofErr w:type="spellEnd"/>
            <w:r>
              <w:rPr>
                <w:color w:val="000000" w:themeColor="text1"/>
              </w:rPr>
              <w:t xml:space="preserve"> and </w:t>
            </w:r>
            <w:proofErr w:type="spellStart"/>
            <w:r>
              <w:rPr>
                <w:color w:val="000000" w:themeColor="text1"/>
              </w:rPr>
              <w:t>the</w:t>
            </w:r>
            <w:proofErr w:type="spellEnd"/>
            <w:r>
              <w:rPr>
                <w:color w:val="000000" w:themeColor="text1"/>
              </w:rPr>
              <w:t xml:space="preserve"> </w:t>
            </w:r>
            <w:proofErr w:type="spellStart"/>
            <w:r>
              <w:rPr>
                <w:color w:val="000000" w:themeColor="text1"/>
              </w:rPr>
              <w:t>Future</w:t>
            </w:r>
            <w:proofErr w:type="spellEnd"/>
            <w:r>
              <w:rPr>
                <w:color w:val="000000" w:themeColor="text1"/>
              </w:rPr>
              <w:t xml:space="preserve"> </w:t>
            </w:r>
            <w:proofErr w:type="spellStart"/>
            <w:r>
              <w:rPr>
                <w:color w:val="000000" w:themeColor="text1"/>
              </w:rPr>
              <w:t>of</w:t>
            </w:r>
            <w:proofErr w:type="spellEnd"/>
            <w:r>
              <w:rPr>
                <w:color w:val="000000" w:themeColor="text1"/>
              </w:rPr>
              <w:t xml:space="preserve"> </w:t>
            </w:r>
            <w:proofErr w:type="spellStart"/>
            <w:r>
              <w:rPr>
                <w:color w:val="000000" w:themeColor="text1"/>
              </w:rPr>
              <w:t>Labour</w:t>
            </w:r>
            <w:proofErr w:type="spellEnd"/>
            <w:r>
              <w:rPr>
                <w:color w:val="000000" w:themeColor="text1"/>
              </w:rPr>
              <w:t xml:space="preserve"> </w:t>
            </w:r>
            <w:proofErr w:type="spellStart"/>
            <w:r>
              <w:rPr>
                <w:color w:val="000000" w:themeColor="text1"/>
              </w:rPr>
              <w:t>Law</w:t>
            </w:r>
            <w:proofErr w:type="spellEnd"/>
            <w:r>
              <w:rPr>
                <w:color w:val="000000" w:themeColor="text1"/>
              </w:rPr>
              <w:t xml:space="preserve"> in </w:t>
            </w:r>
            <w:proofErr w:type="spellStart"/>
            <w:r>
              <w:rPr>
                <w:color w:val="000000" w:themeColor="text1"/>
              </w:rPr>
              <w:t>Europe</w:t>
            </w:r>
            <w:proofErr w:type="spellEnd"/>
            <w:r>
              <w:rPr>
                <w:color w:val="000000" w:themeColor="text1"/>
              </w:rPr>
              <w:t xml:space="preserve"> (Oxford, OUP, 2001)</w:t>
            </w:r>
            <w:r>
              <w:rPr>
                <w:color w:val="000000" w:themeColor="text1"/>
              </w:rPr>
              <w:cr/>
            </w:r>
          </w:p>
          <w:p w14:paraId="78170C63" w14:textId="77777777" w:rsidR="00664DF4" w:rsidRPr="00083BE2" w:rsidRDefault="00664DF4" w:rsidP="008C664A">
            <w:pPr>
              <w:ind w:left="360"/>
              <w:jc w:val="both"/>
              <w:rPr>
                <w:i/>
                <w:iCs/>
                <w:color w:val="000000" w:themeColor="text1"/>
                <w:lang w:val="en-US"/>
              </w:rPr>
            </w:pPr>
          </w:p>
        </w:tc>
      </w:tr>
    </w:tbl>
    <w:p w14:paraId="560E22C8" w14:textId="77777777" w:rsidR="00B6626F" w:rsidRDefault="00B6626F"/>
    <w:sectPr w:rsidR="00B6626F" w:rsidSect="00873A8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B0861" w14:textId="77777777" w:rsidR="00F058DC" w:rsidRDefault="00F058DC" w:rsidP="000067E8">
      <w:r>
        <w:separator/>
      </w:r>
    </w:p>
  </w:endnote>
  <w:endnote w:type="continuationSeparator" w:id="0">
    <w:p w14:paraId="753D511D" w14:textId="77777777" w:rsidR="00F058DC" w:rsidRDefault="00F058DC" w:rsidP="0000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20738" w14:textId="77777777" w:rsidR="00F058DC" w:rsidRDefault="00F058DC" w:rsidP="000067E8">
      <w:r>
        <w:separator/>
      </w:r>
    </w:p>
  </w:footnote>
  <w:footnote w:type="continuationSeparator" w:id="0">
    <w:p w14:paraId="4E9D71C8" w14:textId="77777777" w:rsidR="00F058DC" w:rsidRDefault="00F058DC" w:rsidP="00006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330F2"/>
    <w:multiLevelType w:val="hybridMultilevel"/>
    <w:tmpl w:val="0C3820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32E8303C"/>
    <w:multiLevelType w:val="hybridMultilevel"/>
    <w:tmpl w:val="54DAB5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1C97A94"/>
    <w:multiLevelType w:val="hybridMultilevel"/>
    <w:tmpl w:val="B51A2ED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BA41F38"/>
    <w:multiLevelType w:val="hybridMultilevel"/>
    <w:tmpl w:val="5B3EC5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6DF0256"/>
    <w:multiLevelType w:val="hybridMultilevel"/>
    <w:tmpl w:val="44BC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136476"/>
    <w:multiLevelType w:val="hybridMultilevel"/>
    <w:tmpl w:val="813C68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29133145">
    <w:abstractNumId w:val="4"/>
  </w:num>
  <w:num w:numId="2" w16cid:durableId="1868330041">
    <w:abstractNumId w:val="1"/>
  </w:num>
  <w:num w:numId="3" w16cid:durableId="1741101029">
    <w:abstractNumId w:val="3"/>
  </w:num>
  <w:num w:numId="4" w16cid:durableId="543058135">
    <w:abstractNumId w:val="0"/>
  </w:num>
  <w:num w:numId="5" w16cid:durableId="421681198">
    <w:abstractNumId w:val="2"/>
  </w:num>
  <w:num w:numId="6" w16cid:durableId="1748184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activeWritingStyle w:appName="MSWord" w:lang="cs-CZ" w:vendorID="64" w:dllVersion="0" w:nlCheck="1" w:checkStyle="0"/>
  <w:activeWritingStyle w:appName="MSWord" w:lang="cs-CZ" w:vendorID="64" w:dllVersion="4096" w:nlCheck="1" w:checkStyle="0"/>
  <w:activeWritingStyle w:appName="MSWord" w:lang="en-US" w:vendorID="64" w:dllVersion="4096"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626F"/>
    <w:rsid w:val="000067E8"/>
    <w:rsid w:val="00083BE2"/>
    <w:rsid w:val="000C7234"/>
    <w:rsid w:val="000D3124"/>
    <w:rsid w:val="000D4C77"/>
    <w:rsid w:val="00130F17"/>
    <w:rsid w:val="001442B8"/>
    <w:rsid w:val="00164E28"/>
    <w:rsid w:val="00245C92"/>
    <w:rsid w:val="00280324"/>
    <w:rsid w:val="00333BB3"/>
    <w:rsid w:val="00367C39"/>
    <w:rsid w:val="003A5F4A"/>
    <w:rsid w:val="003D0AD2"/>
    <w:rsid w:val="004623AC"/>
    <w:rsid w:val="00466E71"/>
    <w:rsid w:val="004716E8"/>
    <w:rsid w:val="004F3F93"/>
    <w:rsid w:val="00556E79"/>
    <w:rsid w:val="005A735D"/>
    <w:rsid w:val="005B771F"/>
    <w:rsid w:val="005E5EF0"/>
    <w:rsid w:val="005E7438"/>
    <w:rsid w:val="0062393D"/>
    <w:rsid w:val="00664DF4"/>
    <w:rsid w:val="006C1402"/>
    <w:rsid w:val="00731803"/>
    <w:rsid w:val="0073392E"/>
    <w:rsid w:val="00770C77"/>
    <w:rsid w:val="007717DA"/>
    <w:rsid w:val="007A36BF"/>
    <w:rsid w:val="007F1DA9"/>
    <w:rsid w:val="00873A86"/>
    <w:rsid w:val="00885888"/>
    <w:rsid w:val="008C664A"/>
    <w:rsid w:val="008E3D3E"/>
    <w:rsid w:val="0091370A"/>
    <w:rsid w:val="00952931"/>
    <w:rsid w:val="00A0584F"/>
    <w:rsid w:val="00A23517"/>
    <w:rsid w:val="00AA733C"/>
    <w:rsid w:val="00AB4EF1"/>
    <w:rsid w:val="00AD2172"/>
    <w:rsid w:val="00AF0034"/>
    <w:rsid w:val="00B6626F"/>
    <w:rsid w:val="00B86AAA"/>
    <w:rsid w:val="00B87109"/>
    <w:rsid w:val="00BA2124"/>
    <w:rsid w:val="00BC3FCB"/>
    <w:rsid w:val="00D306E2"/>
    <w:rsid w:val="00D4054E"/>
    <w:rsid w:val="00DA4105"/>
    <w:rsid w:val="00DB15BF"/>
    <w:rsid w:val="00DF3DE1"/>
    <w:rsid w:val="00E1047A"/>
    <w:rsid w:val="00E471DF"/>
    <w:rsid w:val="00E47CDB"/>
    <w:rsid w:val="00E73F62"/>
    <w:rsid w:val="00ED5B61"/>
    <w:rsid w:val="00EE5A01"/>
    <w:rsid w:val="00EE7A03"/>
    <w:rsid w:val="00F058DC"/>
    <w:rsid w:val="00F069AA"/>
    <w:rsid w:val="00F2715F"/>
    <w:rsid w:val="00F60CCD"/>
    <w:rsid w:val="00F678F5"/>
    <w:rsid w:val="00FA4D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E36EB6"/>
  <w15:docId w15:val="{3F914DE9-2116-4DD5-AD46-7809E86E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4DF4"/>
    <w:pPr>
      <w:spacing w:after="0" w:line="240" w:lineRule="auto"/>
    </w:pPr>
    <w:rPr>
      <w:kern w:val="2"/>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64DF4"/>
    <w:pPr>
      <w:spacing w:before="100" w:beforeAutospacing="1" w:after="100" w:afterAutospacing="1"/>
    </w:pPr>
    <w:rPr>
      <w:rFonts w:ascii="Times New Roman" w:eastAsia="Times New Roman" w:hAnsi="Times New Roman" w:cs="Times New Roman"/>
      <w:kern w:val="0"/>
      <w:lang w:eastAsia="es-ES_tradnl"/>
    </w:rPr>
  </w:style>
  <w:style w:type="table" w:styleId="Mkatabulky">
    <w:name w:val="Table Grid"/>
    <w:basedOn w:val="Normlntabulka"/>
    <w:uiPriority w:val="39"/>
    <w:rsid w:val="00664DF4"/>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64DF4"/>
    <w:pPr>
      <w:ind w:left="720"/>
      <w:contextualSpacing/>
    </w:pPr>
  </w:style>
  <w:style w:type="character" w:styleId="Zdraznn">
    <w:name w:val="Emphasis"/>
    <w:basedOn w:val="Standardnpsmoodstavce"/>
    <w:uiPriority w:val="20"/>
    <w:qFormat/>
    <w:rsid w:val="00664DF4"/>
    <w:rPr>
      <w:i/>
      <w:iCs/>
    </w:rPr>
  </w:style>
  <w:style w:type="paragraph" w:styleId="Zhlav">
    <w:name w:val="header"/>
    <w:basedOn w:val="Normln"/>
    <w:link w:val="ZhlavChar"/>
    <w:uiPriority w:val="99"/>
    <w:unhideWhenUsed/>
    <w:rsid w:val="000067E8"/>
    <w:pPr>
      <w:tabs>
        <w:tab w:val="center" w:pos="4513"/>
        <w:tab w:val="right" w:pos="9026"/>
      </w:tabs>
    </w:pPr>
  </w:style>
  <w:style w:type="character" w:customStyle="1" w:styleId="ZhlavChar">
    <w:name w:val="Záhlaví Char"/>
    <w:basedOn w:val="Standardnpsmoodstavce"/>
    <w:link w:val="Zhlav"/>
    <w:uiPriority w:val="99"/>
    <w:rsid w:val="000067E8"/>
    <w:rPr>
      <w:kern w:val="2"/>
      <w:sz w:val="24"/>
      <w:szCs w:val="24"/>
      <w:lang w:val="cs-CZ"/>
    </w:rPr>
  </w:style>
  <w:style w:type="paragraph" w:styleId="Zpat">
    <w:name w:val="footer"/>
    <w:basedOn w:val="Normln"/>
    <w:link w:val="ZpatChar"/>
    <w:uiPriority w:val="99"/>
    <w:unhideWhenUsed/>
    <w:rsid w:val="000067E8"/>
    <w:pPr>
      <w:tabs>
        <w:tab w:val="center" w:pos="4513"/>
        <w:tab w:val="right" w:pos="9026"/>
      </w:tabs>
    </w:pPr>
  </w:style>
  <w:style w:type="character" w:customStyle="1" w:styleId="ZpatChar">
    <w:name w:val="Zápatí Char"/>
    <w:basedOn w:val="Standardnpsmoodstavce"/>
    <w:link w:val="Zpat"/>
    <w:uiPriority w:val="99"/>
    <w:rsid w:val="000067E8"/>
    <w:rPr>
      <w:kern w:val="2"/>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7698">
      <w:bodyDiv w:val="1"/>
      <w:marLeft w:val="0"/>
      <w:marRight w:val="0"/>
      <w:marTop w:val="0"/>
      <w:marBottom w:val="0"/>
      <w:divBdr>
        <w:top w:val="none" w:sz="0" w:space="0" w:color="auto"/>
        <w:left w:val="none" w:sz="0" w:space="0" w:color="auto"/>
        <w:bottom w:val="none" w:sz="0" w:space="0" w:color="auto"/>
        <w:right w:val="none" w:sz="0" w:space="0" w:color="auto"/>
      </w:divBdr>
    </w:div>
    <w:div w:id="193659806">
      <w:bodyDiv w:val="1"/>
      <w:marLeft w:val="0"/>
      <w:marRight w:val="0"/>
      <w:marTop w:val="0"/>
      <w:marBottom w:val="0"/>
      <w:divBdr>
        <w:top w:val="none" w:sz="0" w:space="0" w:color="auto"/>
        <w:left w:val="none" w:sz="0" w:space="0" w:color="auto"/>
        <w:bottom w:val="none" w:sz="0" w:space="0" w:color="auto"/>
        <w:right w:val="none" w:sz="0" w:space="0" w:color="auto"/>
      </w:divBdr>
    </w:div>
    <w:div w:id="262416963">
      <w:bodyDiv w:val="1"/>
      <w:marLeft w:val="0"/>
      <w:marRight w:val="0"/>
      <w:marTop w:val="0"/>
      <w:marBottom w:val="0"/>
      <w:divBdr>
        <w:top w:val="none" w:sz="0" w:space="0" w:color="auto"/>
        <w:left w:val="none" w:sz="0" w:space="0" w:color="auto"/>
        <w:bottom w:val="none" w:sz="0" w:space="0" w:color="auto"/>
        <w:right w:val="none" w:sz="0" w:space="0" w:color="auto"/>
      </w:divBdr>
    </w:div>
    <w:div w:id="313145535">
      <w:bodyDiv w:val="1"/>
      <w:marLeft w:val="0"/>
      <w:marRight w:val="0"/>
      <w:marTop w:val="0"/>
      <w:marBottom w:val="0"/>
      <w:divBdr>
        <w:top w:val="none" w:sz="0" w:space="0" w:color="auto"/>
        <w:left w:val="none" w:sz="0" w:space="0" w:color="auto"/>
        <w:bottom w:val="none" w:sz="0" w:space="0" w:color="auto"/>
        <w:right w:val="none" w:sz="0" w:space="0" w:color="auto"/>
      </w:divBdr>
      <w:divsChild>
        <w:div w:id="657154836">
          <w:marLeft w:val="0"/>
          <w:marRight w:val="0"/>
          <w:marTop w:val="0"/>
          <w:marBottom w:val="0"/>
          <w:divBdr>
            <w:top w:val="none" w:sz="0" w:space="0" w:color="auto"/>
            <w:left w:val="none" w:sz="0" w:space="0" w:color="auto"/>
            <w:bottom w:val="none" w:sz="0" w:space="0" w:color="auto"/>
            <w:right w:val="none" w:sz="0" w:space="0" w:color="auto"/>
          </w:divBdr>
          <w:divsChild>
            <w:div w:id="1878271630">
              <w:marLeft w:val="0"/>
              <w:marRight w:val="0"/>
              <w:marTop w:val="0"/>
              <w:marBottom w:val="0"/>
              <w:divBdr>
                <w:top w:val="none" w:sz="0" w:space="0" w:color="auto"/>
                <w:left w:val="none" w:sz="0" w:space="0" w:color="auto"/>
                <w:bottom w:val="none" w:sz="0" w:space="0" w:color="auto"/>
                <w:right w:val="none" w:sz="0" w:space="0" w:color="auto"/>
              </w:divBdr>
            </w:div>
          </w:divsChild>
        </w:div>
        <w:div w:id="810638493">
          <w:marLeft w:val="0"/>
          <w:marRight w:val="0"/>
          <w:marTop w:val="0"/>
          <w:marBottom w:val="0"/>
          <w:divBdr>
            <w:top w:val="none" w:sz="0" w:space="0" w:color="auto"/>
            <w:left w:val="none" w:sz="0" w:space="0" w:color="auto"/>
            <w:bottom w:val="none" w:sz="0" w:space="0" w:color="auto"/>
            <w:right w:val="none" w:sz="0" w:space="0" w:color="auto"/>
          </w:divBdr>
          <w:divsChild>
            <w:div w:id="5946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639324">
      <w:bodyDiv w:val="1"/>
      <w:marLeft w:val="0"/>
      <w:marRight w:val="0"/>
      <w:marTop w:val="0"/>
      <w:marBottom w:val="0"/>
      <w:divBdr>
        <w:top w:val="none" w:sz="0" w:space="0" w:color="auto"/>
        <w:left w:val="none" w:sz="0" w:space="0" w:color="auto"/>
        <w:bottom w:val="none" w:sz="0" w:space="0" w:color="auto"/>
        <w:right w:val="none" w:sz="0" w:space="0" w:color="auto"/>
      </w:divBdr>
      <w:divsChild>
        <w:div w:id="1636639196">
          <w:marLeft w:val="0"/>
          <w:marRight w:val="0"/>
          <w:marTop w:val="0"/>
          <w:marBottom w:val="0"/>
          <w:divBdr>
            <w:top w:val="none" w:sz="0" w:space="0" w:color="auto"/>
            <w:left w:val="none" w:sz="0" w:space="0" w:color="auto"/>
            <w:bottom w:val="none" w:sz="0" w:space="0" w:color="auto"/>
            <w:right w:val="none" w:sz="0" w:space="0" w:color="auto"/>
          </w:divBdr>
          <w:divsChild>
            <w:div w:id="126558863">
              <w:marLeft w:val="0"/>
              <w:marRight w:val="0"/>
              <w:marTop w:val="0"/>
              <w:marBottom w:val="0"/>
              <w:divBdr>
                <w:top w:val="none" w:sz="0" w:space="0" w:color="auto"/>
                <w:left w:val="none" w:sz="0" w:space="0" w:color="auto"/>
                <w:bottom w:val="none" w:sz="0" w:space="0" w:color="auto"/>
                <w:right w:val="none" w:sz="0" w:space="0" w:color="auto"/>
              </w:divBdr>
            </w:div>
          </w:divsChild>
        </w:div>
        <w:div w:id="693962139">
          <w:marLeft w:val="0"/>
          <w:marRight w:val="0"/>
          <w:marTop w:val="0"/>
          <w:marBottom w:val="0"/>
          <w:divBdr>
            <w:top w:val="none" w:sz="0" w:space="0" w:color="auto"/>
            <w:left w:val="none" w:sz="0" w:space="0" w:color="auto"/>
            <w:bottom w:val="none" w:sz="0" w:space="0" w:color="auto"/>
            <w:right w:val="none" w:sz="0" w:space="0" w:color="auto"/>
          </w:divBdr>
          <w:divsChild>
            <w:div w:id="209755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43897">
      <w:bodyDiv w:val="1"/>
      <w:marLeft w:val="0"/>
      <w:marRight w:val="0"/>
      <w:marTop w:val="0"/>
      <w:marBottom w:val="0"/>
      <w:divBdr>
        <w:top w:val="none" w:sz="0" w:space="0" w:color="auto"/>
        <w:left w:val="none" w:sz="0" w:space="0" w:color="auto"/>
        <w:bottom w:val="none" w:sz="0" w:space="0" w:color="auto"/>
        <w:right w:val="none" w:sz="0" w:space="0" w:color="auto"/>
      </w:divBdr>
    </w:div>
    <w:div w:id="527304671">
      <w:bodyDiv w:val="1"/>
      <w:marLeft w:val="0"/>
      <w:marRight w:val="0"/>
      <w:marTop w:val="0"/>
      <w:marBottom w:val="0"/>
      <w:divBdr>
        <w:top w:val="none" w:sz="0" w:space="0" w:color="auto"/>
        <w:left w:val="none" w:sz="0" w:space="0" w:color="auto"/>
        <w:bottom w:val="none" w:sz="0" w:space="0" w:color="auto"/>
        <w:right w:val="none" w:sz="0" w:space="0" w:color="auto"/>
      </w:divBdr>
    </w:div>
    <w:div w:id="548080057">
      <w:bodyDiv w:val="1"/>
      <w:marLeft w:val="0"/>
      <w:marRight w:val="0"/>
      <w:marTop w:val="0"/>
      <w:marBottom w:val="0"/>
      <w:divBdr>
        <w:top w:val="none" w:sz="0" w:space="0" w:color="auto"/>
        <w:left w:val="none" w:sz="0" w:space="0" w:color="auto"/>
        <w:bottom w:val="none" w:sz="0" w:space="0" w:color="auto"/>
        <w:right w:val="none" w:sz="0" w:space="0" w:color="auto"/>
      </w:divBdr>
      <w:divsChild>
        <w:div w:id="1022125421">
          <w:marLeft w:val="0"/>
          <w:marRight w:val="0"/>
          <w:marTop w:val="0"/>
          <w:marBottom w:val="0"/>
          <w:divBdr>
            <w:top w:val="none" w:sz="0" w:space="0" w:color="auto"/>
            <w:left w:val="none" w:sz="0" w:space="0" w:color="auto"/>
            <w:bottom w:val="none" w:sz="0" w:space="0" w:color="auto"/>
            <w:right w:val="none" w:sz="0" w:space="0" w:color="auto"/>
          </w:divBdr>
          <w:divsChild>
            <w:div w:id="1435057158">
              <w:marLeft w:val="0"/>
              <w:marRight w:val="0"/>
              <w:marTop w:val="0"/>
              <w:marBottom w:val="0"/>
              <w:divBdr>
                <w:top w:val="none" w:sz="0" w:space="0" w:color="auto"/>
                <w:left w:val="none" w:sz="0" w:space="0" w:color="auto"/>
                <w:bottom w:val="none" w:sz="0" w:space="0" w:color="auto"/>
                <w:right w:val="none" w:sz="0" w:space="0" w:color="auto"/>
              </w:divBdr>
            </w:div>
          </w:divsChild>
        </w:div>
        <w:div w:id="1543664509">
          <w:marLeft w:val="0"/>
          <w:marRight w:val="0"/>
          <w:marTop w:val="0"/>
          <w:marBottom w:val="0"/>
          <w:divBdr>
            <w:top w:val="none" w:sz="0" w:space="0" w:color="auto"/>
            <w:left w:val="none" w:sz="0" w:space="0" w:color="auto"/>
            <w:bottom w:val="none" w:sz="0" w:space="0" w:color="auto"/>
            <w:right w:val="none" w:sz="0" w:space="0" w:color="auto"/>
          </w:divBdr>
          <w:divsChild>
            <w:div w:id="8378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7842">
      <w:bodyDiv w:val="1"/>
      <w:marLeft w:val="0"/>
      <w:marRight w:val="0"/>
      <w:marTop w:val="0"/>
      <w:marBottom w:val="0"/>
      <w:divBdr>
        <w:top w:val="none" w:sz="0" w:space="0" w:color="auto"/>
        <w:left w:val="none" w:sz="0" w:space="0" w:color="auto"/>
        <w:bottom w:val="none" w:sz="0" w:space="0" w:color="auto"/>
        <w:right w:val="none" w:sz="0" w:space="0" w:color="auto"/>
      </w:divBdr>
      <w:divsChild>
        <w:div w:id="1439838100">
          <w:marLeft w:val="0"/>
          <w:marRight w:val="0"/>
          <w:marTop w:val="0"/>
          <w:marBottom w:val="0"/>
          <w:divBdr>
            <w:top w:val="none" w:sz="0" w:space="0" w:color="auto"/>
            <w:left w:val="none" w:sz="0" w:space="0" w:color="auto"/>
            <w:bottom w:val="none" w:sz="0" w:space="0" w:color="auto"/>
            <w:right w:val="none" w:sz="0" w:space="0" w:color="auto"/>
          </w:divBdr>
          <w:divsChild>
            <w:div w:id="1408914286">
              <w:marLeft w:val="0"/>
              <w:marRight w:val="0"/>
              <w:marTop w:val="0"/>
              <w:marBottom w:val="0"/>
              <w:divBdr>
                <w:top w:val="none" w:sz="0" w:space="0" w:color="auto"/>
                <w:left w:val="none" w:sz="0" w:space="0" w:color="auto"/>
                <w:bottom w:val="none" w:sz="0" w:space="0" w:color="auto"/>
                <w:right w:val="none" w:sz="0" w:space="0" w:color="auto"/>
              </w:divBdr>
            </w:div>
          </w:divsChild>
        </w:div>
        <w:div w:id="1225794927">
          <w:marLeft w:val="0"/>
          <w:marRight w:val="0"/>
          <w:marTop w:val="0"/>
          <w:marBottom w:val="0"/>
          <w:divBdr>
            <w:top w:val="none" w:sz="0" w:space="0" w:color="auto"/>
            <w:left w:val="none" w:sz="0" w:space="0" w:color="auto"/>
            <w:bottom w:val="none" w:sz="0" w:space="0" w:color="auto"/>
            <w:right w:val="none" w:sz="0" w:space="0" w:color="auto"/>
          </w:divBdr>
          <w:divsChild>
            <w:div w:id="122266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51279">
      <w:bodyDiv w:val="1"/>
      <w:marLeft w:val="0"/>
      <w:marRight w:val="0"/>
      <w:marTop w:val="0"/>
      <w:marBottom w:val="0"/>
      <w:divBdr>
        <w:top w:val="none" w:sz="0" w:space="0" w:color="auto"/>
        <w:left w:val="none" w:sz="0" w:space="0" w:color="auto"/>
        <w:bottom w:val="none" w:sz="0" w:space="0" w:color="auto"/>
        <w:right w:val="none" w:sz="0" w:space="0" w:color="auto"/>
      </w:divBdr>
    </w:div>
    <w:div w:id="847985007">
      <w:bodyDiv w:val="1"/>
      <w:marLeft w:val="0"/>
      <w:marRight w:val="0"/>
      <w:marTop w:val="0"/>
      <w:marBottom w:val="0"/>
      <w:divBdr>
        <w:top w:val="none" w:sz="0" w:space="0" w:color="auto"/>
        <w:left w:val="none" w:sz="0" w:space="0" w:color="auto"/>
        <w:bottom w:val="none" w:sz="0" w:space="0" w:color="auto"/>
        <w:right w:val="none" w:sz="0" w:space="0" w:color="auto"/>
      </w:divBdr>
      <w:divsChild>
        <w:div w:id="1760520180">
          <w:marLeft w:val="0"/>
          <w:marRight w:val="0"/>
          <w:marTop w:val="0"/>
          <w:marBottom w:val="0"/>
          <w:divBdr>
            <w:top w:val="none" w:sz="0" w:space="0" w:color="auto"/>
            <w:left w:val="none" w:sz="0" w:space="0" w:color="auto"/>
            <w:bottom w:val="none" w:sz="0" w:space="0" w:color="auto"/>
            <w:right w:val="none" w:sz="0" w:space="0" w:color="auto"/>
          </w:divBdr>
          <w:divsChild>
            <w:div w:id="1481997734">
              <w:marLeft w:val="0"/>
              <w:marRight w:val="0"/>
              <w:marTop w:val="0"/>
              <w:marBottom w:val="0"/>
              <w:divBdr>
                <w:top w:val="none" w:sz="0" w:space="0" w:color="auto"/>
                <w:left w:val="none" w:sz="0" w:space="0" w:color="auto"/>
                <w:bottom w:val="none" w:sz="0" w:space="0" w:color="auto"/>
                <w:right w:val="none" w:sz="0" w:space="0" w:color="auto"/>
              </w:divBdr>
            </w:div>
          </w:divsChild>
        </w:div>
        <w:div w:id="1610121109">
          <w:marLeft w:val="0"/>
          <w:marRight w:val="0"/>
          <w:marTop w:val="0"/>
          <w:marBottom w:val="0"/>
          <w:divBdr>
            <w:top w:val="none" w:sz="0" w:space="0" w:color="auto"/>
            <w:left w:val="none" w:sz="0" w:space="0" w:color="auto"/>
            <w:bottom w:val="none" w:sz="0" w:space="0" w:color="auto"/>
            <w:right w:val="none" w:sz="0" w:space="0" w:color="auto"/>
          </w:divBdr>
          <w:divsChild>
            <w:div w:id="3992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90937">
      <w:bodyDiv w:val="1"/>
      <w:marLeft w:val="0"/>
      <w:marRight w:val="0"/>
      <w:marTop w:val="0"/>
      <w:marBottom w:val="0"/>
      <w:divBdr>
        <w:top w:val="none" w:sz="0" w:space="0" w:color="auto"/>
        <w:left w:val="none" w:sz="0" w:space="0" w:color="auto"/>
        <w:bottom w:val="none" w:sz="0" w:space="0" w:color="auto"/>
        <w:right w:val="none" w:sz="0" w:space="0" w:color="auto"/>
      </w:divBdr>
      <w:divsChild>
        <w:div w:id="1359426396">
          <w:marLeft w:val="0"/>
          <w:marRight w:val="0"/>
          <w:marTop w:val="0"/>
          <w:marBottom w:val="0"/>
          <w:divBdr>
            <w:top w:val="none" w:sz="0" w:space="0" w:color="auto"/>
            <w:left w:val="none" w:sz="0" w:space="0" w:color="auto"/>
            <w:bottom w:val="none" w:sz="0" w:space="0" w:color="auto"/>
            <w:right w:val="none" w:sz="0" w:space="0" w:color="auto"/>
          </w:divBdr>
          <w:divsChild>
            <w:div w:id="33622215">
              <w:marLeft w:val="0"/>
              <w:marRight w:val="0"/>
              <w:marTop w:val="0"/>
              <w:marBottom w:val="0"/>
              <w:divBdr>
                <w:top w:val="none" w:sz="0" w:space="0" w:color="auto"/>
                <w:left w:val="none" w:sz="0" w:space="0" w:color="auto"/>
                <w:bottom w:val="none" w:sz="0" w:space="0" w:color="auto"/>
                <w:right w:val="none" w:sz="0" w:space="0" w:color="auto"/>
              </w:divBdr>
            </w:div>
          </w:divsChild>
        </w:div>
        <w:div w:id="1475563764">
          <w:marLeft w:val="0"/>
          <w:marRight w:val="0"/>
          <w:marTop w:val="0"/>
          <w:marBottom w:val="0"/>
          <w:divBdr>
            <w:top w:val="none" w:sz="0" w:space="0" w:color="auto"/>
            <w:left w:val="none" w:sz="0" w:space="0" w:color="auto"/>
            <w:bottom w:val="none" w:sz="0" w:space="0" w:color="auto"/>
            <w:right w:val="none" w:sz="0" w:space="0" w:color="auto"/>
          </w:divBdr>
          <w:divsChild>
            <w:div w:id="199179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7536">
      <w:bodyDiv w:val="1"/>
      <w:marLeft w:val="0"/>
      <w:marRight w:val="0"/>
      <w:marTop w:val="0"/>
      <w:marBottom w:val="0"/>
      <w:divBdr>
        <w:top w:val="none" w:sz="0" w:space="0" w:color="auto"/>
        <w:left w:val="none" w:sz="0" w:space="0" w:color="auto"/>
        <w:bottom w:val="none" w:sz="0" w:space="0" w:color="auto"/>
        <w:right w:val="none" w:sz="0" w:space="0" w:color="auto"/>
      </w:divBdr>
      <w:divsChild>
        <w:div w:id="1237518729">
          <w:marLeft w:val="0"/>
          <w:marRight w:val="0"/>
          <w:marTop w:val="0"/>
          <w:marBottom w:val="0"/>
          <w:divBdr>
            <w:top w:val="none" w:sz="0" w:space="0" w:color="auto"/>
            <w:left w:val="none" w:sz="0" w:space="0" w:color="auto"/>
            <w:bottom w:val="none" w:sz="0" w:space="0" w:color="auto"/>
            <w:right w:val="none" w:sz="0" w:space="0" w:color="auto"/>
          </w:divBdr>
          <w:divsChild>
            <w:div w:id="2018532627">
              <w:marLeft w:val="0"/>
              <w:marRight w:val="0"/>
              <w:marTop w:val="0"/>
              <w:marBottom w:val="0"/>
              <w:divBdr>
                <w:top w:val="none" w:sz="0" w:space="0" w:color="auto"/>
                <w:left w:val="none" w:sz="0" w:space="0" w:color="auto"/>
                <w:bottom w:val="none" w:sz="0" w:space="0" w:color="auto"/>
                <w:right w:val="none" w:sz="0" w:space="0" w:color="auto"/>
              </w:divBdr>
            </w:div>
          </w:divsChild>
        </w:div>
        <w:div w:id="868756931">
          <w:marLeft w:val="0"/>
          <w:marRight w:val="0"/>
          <w:marTop w:val="0"/>
          <w:marBottom w:val="0"/>
          <w:divBdr>
            <w:top w:val="none" w:sz="0" w:space="0" w:color="auto"/>
            <w:left w:val="none" w:sz="0" w:space="0" w:color="auto"/>
            <w:bottom w:val="none" w:sz="0" w:space="0" w:color="auto"/>
            <w:right w:val="none" w:sz="0" w:space="0" w:color="auto"/>
          </w:divBdr>
          <w:divsChild>
            <w:div w:id="15073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68832">
      <w:bodyDiv w:val="1"/>
      <w:marLeft w:val="0"/>
      <w:marRight w:val="0"/>
      <w:marTop w:val="0"/>
      <w:marBottom w:val="0"/>
      <w:divBdr>
        <w:top w:val="none" w:sz="0" w:space="0" w:color="auto"/>
        <w:left w:val="none" w:sz="0" w:space="0" w:color="auto"/>
        <w:bottom w:val="none" w:sz="0" w:space="0" w:color="auto"/>
        <w:right w:val="none" w:sz="0" w:space="0" w:color="auto"/>
      </w:divBdr>
    </w:div>
    <w:div w:id="933709076">
      <w:bodyDiv w:val="1"/>
      <w:marLeft w:val="0"/>
      <w:marRight w:val="0"/>
      <w:marTop w:val="0"/>
      <w:marBottom w:val="0"/>
      <w:divBdr>
        <w:top w:val="none" w:sz="0" w:space="0" w:color="auto"/>
        <w:left w:val="none" w:sz="0" w:space="0" w:color="auto"/>
        <w:bottom w:val="none" w:sz="0" w:space="0" w:color="auto"/>
        <w:right w:val="none" w:sz="0" w:space="0" w:color="auto"/>
      </w:divBdr>
      <w:divsChild>
        <w:div w:id="1477606639">
          <w:marLeft w:val="0"/>
          <w:marRight w:val="0"/>
          <w:marTop w:val="0"/>
          <w:marBottom w:val="0"/>
          <w:divBdr>
            <w:top w:val="none" w:sz="0" w:space="0" w:color="auto"/>
            <w:left w:val="none" w:sz="0" w:space="0" w:color="auto"/>
            <w:bottom w:val="none" w:sz="0" w:space="0" w:color="auto"/>
            <w:right w:val="none" w:sz="0" w:space="0" w:color="auto"/>
          </w:divBdr>
          <w:divsChild>
            <w:div w:id="1319725823">
              <w:marLeft w:val="0"/>
              <w:marRight w:val="0"/>
              <w:marTop w:val="0"/>
              <w:marBottom w:val="0"/>
              <w:divBdr>
                <w:top w:val="none" w:sz="0" w:space="0" w:color="auto"/>
                <w:left w:val="none" w:sz="0" w:space="0" w:color="auto"/>
                <w:bottom w:val="none" w:sz="0" w:space="0" w:color="auto"/>
                <w:right w:val="none" w:sz="0" w:space="0" w:color="auto"/>
              </w:divBdr>
            </w:div>
          </w:divsChild>
        </w:div>
        <w:div w:id="1724325878">
          <w:marLeft w:val="0"/>
          <w:marRight w:val="0"/>
          <w:marTop w:val="0"/>
          <w:marBottom w:val="0"/>
          <w:divBdr>
            <w:top w:val="none" w:sz="0" w:space="0" w:color="auto"/>
            <w:left w:val="none" w:sz="0" w:space="0" w:color="auto"/>
            <w:bottom w:val="none" w:sz="0" w:space="0" w:color="auto"/>
            <w:right w:val="none" w:sz="0" w:space="0" w:color="auto"/>
          </w:divBdr>
          <w:divsChild>
            <w:div w:id="2217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50492">
      <w:bodyDiv w:val="1"/>
      <w:marLeft w:val="0"/>
      <w:marRight w:val="0"/>
      <w:marTop w:val="0"/>
      <w:marBottom w:val="0"/>
      <w:divBdr>
        <w:top w:val="none" w:sz="0" w:space="0" w:color="auto"/>
        <w:left w:val="none" w:sz="0" w:space="0" w:color="auto"/>
        <w:bottom w:val="none" w:sz="0" w:space="0" w:color="auto"/>
        <w:right w:val="none" w:sz="0" w:space="0" w:color="auto"/>
      </w:divBdr>
    </w:div>
    <w:div w:id="1022362089">
      <w:bodyDiv w:val="1"/>
      <w:marLeft w:val="0"/>
      <w:marRight w:val="0"/>
      <w:marTop w:val="0"/>
      <w:marBottom w:val="0"/>
      <w:divBdr>
        <w:top w:val="none" w:sz="0" w:space="0" w:color="auto"/>
        <w:left w:val="none" w:sz="0" w:space="0" w:color="auto"/>
        <w:bottom w:val="none" w:sz="0" w:space="0" w:color="auto"/>
        <w:right w:val="none" w:sz="0" w:space="0" w:color="auto"/>
      </w:divBdr>
    </w:div>
    <w:div w:id="1121151516">
      <w:bodyDiv w:val="1"/>
      <w:marLeft w:val="0"/>
      <w:marRight w:val="0"/>
      <w:marTop w:val="0"/>
      <w:marBottom w:val="0"/>
      <w:divBdr>
        <w:top w:val="none" w:sz="0" w:space="0" w:color="auto"/>
        <w:left w:val="none" w:sz="0" w:space="0" w:color="auto"/>
        <w:bottom w:val="none" w:sz="0" w:space="0" w:color="auto"/>
        <w:right w:val="none" w:sz="0" w:space="0" w:color="auto"/>
      </w:divBdr>
    </w:div>
    <w:div w:id="1143809511">
      <w:bodyDiv w:val="1"/>
      <w:marLeft w:val="0"/>
      <w:marRight w:val="0"/>
      <w:marTop w:val="0"/>
      <w:marBottom w:val="0"/>
      <w:divBdr>
        <w:top w:val="none" w:sz="0" w:space="0" w:color="auto"/>
        <w:left w:val="none" w:sz="0" w:space="0" w:color="auto"/>
        <w:bottom w:val="none" w:sz="0" w:space="0" w:color="auto"/>
        <w:right w:val="none" w:sz="0" w:space="0" w:color="auto"/>
      </w:divBdr>
      <w:divsChild>
        <w:div w:id="170534980">
          <w:marLeft w:val="0"/>
          <w:marRight w:val="0"/>
          <w:marTop w:val="0"/>
          <w:marBottom w:val="0"/>
          <w:divBdr>
            <w:top w:val="none" w:sz="0" w:space="0" w:color="auto"/>
            <w:left w:val="none" w:sz="0" w:space="0" w:color="auto"/>
            <w:bottom w:val="none" w:sz="0" w:space="0" w:color="auto"/>
            <w:right w:val="none" w:sz="0" w:space="0" w:color="auto"/>
          </w:divBdr>
          <w:divsChild>
            <w:div w:id="318269634">
              <w:marLeft w:val="0"/>
              <w:marRight w:val="0"/>
              <w:marTop w:val="0"/>
              <w:marBottom w:val="0"/>
              <w:divBdr>
                <w:top w:val="none" w:sz="0" w:space="0" w:color="auto"/>
                <w:left w:val="none" w:sz="0" w:space="0" w:color="auto"/>
                <w:bottom w:val="none" w:sz="0" w:space="0" w:color="auto"/>
                <w:right w:val="none" w:sz="0" w:space="0" w:color="auto"/>
              </w:divBdr>
            </w:div>
          </w:divsChild>
        </w:div>
        <w:div w:id="1638946527">
          <w:marLeft w:val="0"/>
          <w:marRight w:val="0"/>
          <w:marTop w:val="0"/>
          <w:marBottom w:val="0"/>
          <w:divBdr>
            <w:top w:val="none" w:sz="0" w:space="0" w:color="auto"/>
            <w:left w:val="none" w:sz="0" w:space="0" w:color="auto"/>
            <w:bottom w:val="none" w:sz="0" w:space="0" w:color="auto"/>
            <w:right w:val="none" w:sz="0" w:space="0" w:color="auto"/>
          </w:divBdr>
          <w:divsChild>
            <w:div w:id="13194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6832">
      <w:bodyDiv w:val="1"/>
      <w:marLeft w:val="0"/>
      <w:marRight w:val="0"/>
      <w:marTop w:val="0"/>
      <w:marBottom w:val="0"/>
      <w:divBdr>
        <w:top w:val="none" w:sz="0" w:space="0" w:color="auto"/>
        <w:left w:val="none" w:sz="0" w:space="0" w:color="auto"/>
        <w:bottom w:val="none" w:sz="0" w:space="0" w:color="auto"/>
        <w:right w:val="none" w:sz="0" w:space="0" w:color="auto"/>
      </w:divBdr>
      <w:divsChild>
        <w:div w:id="1673413562">
          <w:marLeft w:val="0"/>
          <w:marRight w:val="0"/>
          <w:marTop w:val="0"/>
          <w:marBottom w:val="0"/>
          <w:divBdr>
            <w:top w:val="none" w:sz="0" w:space="0" w:color="auto"/>
            <w:left w:val="none" w:sz="0" w:space="0" w:color="auto"/>
            <w:bottom w:val="none" w:sz="0" w:space="0" w:color="auto"/>
            <w:right w:val="none" w:sz="0" w:space="0" w:color="auto"/>
          </w:divBdr>
          <w:divsChild>
            <w:div w:id="92558685">
              <w:marLeft w:val="0"/>
              <w:marRight w:val="0"/>
              <w:marTop w:val="0"/>
              <w:marBottom w:val="0"/>
              <w:divBdr>
                <w:top w:val="none" w:sz="0" w:space="0" w:color="auto"/>
                <w:left w:val="none" w:sz="0" w:space="0" w:color="auto"/>
                <w:bottom w:val="none" w:sz="0" w:space="0" w:color="auto"/>
                <w:right w:val="none" w:sz="0" w:space="0" w:color="auto"/>
              </w:divBdr>
            </w:div>
          </w:divsChild>
        </w:div>
        <w:div w:id="493569037">
          <w:marLeft w:val="0"/>
          <w:marRight w:val="0"/>
          <w:marTop w:val="0"/>
          <w:marBottom w:val="0"/>
          <w:divBdr>
            <w:top w:val="none" w:sz="0" w:space="0" w:color="auto"/>
            <w:left w:val="none" w:sz="0" w:space="0" w:color="auto"/>
            <w:bottom w:val="none" w:sz="0" w:space="0" w:color="auto"/>
            <w:right w:val="none" w:sz="0" w:space="0" w:color="auto"/>
          </w:divBdr>
          <w:divsChild>
            <w:div w:id="16597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06075">
      <w:bodyDiv w:val="1"/>
      <w:marLeft w:val="0"/>
      <w:marRight w:val="0"/>
      <w:marTop w:val="0"/>
      <w:marBottom w:val="0"/>
      <w:divBdr>
        <w:top w:val="none" w:sz="0" w:space="0" w:color="auto"/>
        <w:left w:val="none" w:sz="0" w:space="0" w:color="auto"/>
        <w:bottom w:val="none" w:sz="0" w:space="0" w:color="auto"/>
        <w:right w:val="none" w:sz="0" w:space="0" w:color="auto"/>
      </w:divBdr>
      <w:divsChild>
        <w:div w:id="1492720448">
          <w:marLeft w:val="0"/>
          <w:marRight w:val="0"/>
          <w:marTop w:val="0"/>
          <w:marBottom w:val="0"/>
          <w:divBdr>
            <w:top w:val="none" w:sz="0" w:space="0" w:color="auto"/>
            <w:left w:val="none" w:sz="0" w:space="0" w:color="auto"/>
            <w:bottom w:val="none" w:sz="0" w:space="0" w:color="auto"/>
            <w:right w:val="none" w:sz="0" w:space="0" w:color="auto"/>
          </w:divBdr>
          <w:divsChild>
            <w:div w:id="5862807">
              <w:marLeft w:val="0"/>
              <w:marRight w:val="0"/>
              <w:marTop w:val="0"/>
              <w:marBottom w:val="0"/>
              <w:divBdr>
                <w:top w:val="none" w:sz="0" w:space="0" w:color="auto"/>
                <w:left w:val="none" w:sz="0" w:space="0" w:color="auto"/>
                <w:bottom w:val="none" w:sz="0" w:space="0" w:color="auto"/>
                <w:right w:val="none" w:sz="0" w:space="0" w:color="auto"/>
              </w:divBdr>
            </w:div>
          </w:divsChild>
        </w:div>
        <w:div w:id="972833925">
          <w:marLeft w:val="0"/>
          <w:marRight w:val="0"/>
          <w:marTop w:val="0"/>
          <w:marBottom w:val="0"/>
          <w:divBdr>
            <w:top w:val="none" w:sz="0" w:space="0" w:color="auto"/>
            <w:left w:val="none" w:sz="0" w:space="0" w:color="auto"/>
            <w:bottom w:val="none" w:sz="0" w:space="0" w:color="auto"/>
            <w:right w:val="none" w:sz="0" w:space="0" w:color="auto"/>
          </w:divBdr>
          <w:divsChild>
            <w:div w:id="18538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6050">
      <w:bodyDiv w:val="1"/>
      <w:marLeft w:val="0"/>
      <w:marRight w:val="0"/>
      <w:marTop w:val="0"/>
      <w:marBottom w:val="0"/>
      <w:divBdr>
        <w:top w:val="none" w:sz="0" w:space="0" w:color="auto"/>
        <w:left w:val="none" w:sz="0" w:space="0" w:color="auto"/>
        <w:bottom w:val="none" w:sz="0" w:space="0" w:color="auto"/>
        <w:right w:val="none" w:sz="0" w:space="0" w:color="auto"/>
      </w:divBdr>
    </w:div>
    <w:div w:id="1441754785">
      <w:bodyDiv w:val="1"/>
      <w:marLeft w:val="0"/>
      <w:marRight w:val="0"/>
      <w:marTop w:val="0"/>
      <w:marBottom w:val="0"/>
      <w:divBdr>
        <w:top w:val="none" w:sz="0" w:space="0" w:color="auto"/>
        <w:left w:val="none" w:sz="0" w:space="0" w:color="auto"/>
        <w:bottom w:val="none" w:sz="0" w:space="0" w:color="auto"/>
        <w:right w:val="none" w:sz="0" w:space="0" w:color="auto"/>
      </w:divBdr>
    </w:div>
    <w:div w:id="1448237359">
      <w:bodyDiv w:val="1"/>
      <w:marLeft w:val="0"/>
      <w:marRight w:val="0"/>
      <w:marTop w:val="0"/>
      <w:marBottom w:val="0"/>
      <w:divBdr>
        <w:top w:val="none" w:sz="0" w:space="0" w:color="auto"/>
        <w:left w:val="none" w:sz="0" w:space="0" w:color="auto"/>
        <w:bottom w:val="none" w:sz="0" w:space="0" w:color="auto"/>
        <w:right w:val="none" w:sz="0" w:space="0" w:color="auto"/>
      </w:divBdr>
    </w:div>
    <w:div w:id="1709840248">
      <w:bodyDiv w:val="1"/>
      <w:marLeft w:val="0"/>
      <w:marRight w:val="0"/>
      <w:marTop w:val="0"/>
      <w:marBottom w:val="0"/>
      <w:divBdr>
        <w:top w:val="none" w:sz="0" w:space="0" w:color="auto"/>
        <w:left w:val="none" w:sz="0" w:space="0" w:color="auto"/>
        <w:bottom w:val="none" w:sz="0" w:space="0" w:color="auto"/>
        <w:right w:val="none" w:sz="0" w:space="0" w:color="auto"/>
      </w:divBdr>
    </w:div>
    <w:div w:id="1747874925">
      <w:bodyDiv w:val="1"/>
      <w:marLeft w:val="0"/>
      <w:marRight w:val="0"/>
      <w:marTop w:val="0"/>
      <w:marBottom w:val="0"/>
      <w:divBdr>
        <w:top w:val="none" w:sz="0" w:space="0" w:color="auto"/>
        <w:left w:val="none" w:sz="0" w:space="0" w:color="auto"/>
        <w:bottom w:val="none" w:sz="0" w:space="0" w:color="auto"/>
        <w:right w:val="none" w:sz="0" w:space="0" w:color="auto"/>
      </w:divBdr>
    </w:div>
    <w:div w:id="1754888416">
      <w:bodyDiv w:val="1"/>
      <w:marLeft w:val="0"/>
      <w:marRight w:val="0"/>
      <w:marTop w:val="0"/>
      <w:marBottom w:val="0"/>
      <w:divBdr>
        <w:top w:val="none" w:sz="0" w:space="0" w:color="auto"/>
        <w:left w:val="none" w:sz="0" w:space="0" w:color="auto"/>
        <w:bottom w:val="none" w:sz="0" w:space="0" w:color="auto"/>
        <w:right w:val="none" w:sz="0" w:space="0" w:color="auto"/>
      </w:divBdr>
    </w:div>
    <w:div w:id="1923878400">
      <w:bodyDiv w:val="1"/>
      <w:marLeft w:val="0"/>
      <w:marRight w:val="0"/>
      <w:marTop w:val="0"/>
      <w:marBottom w:val="0"/>
      <w:divBdr>
        <w:top w:val="none" w:sz="0" w:space="0" w:color="auto"/>
        <w:left w:val="none" w:sz="0" w:space="0" w:color="auto"/>
        <w:bottom w:val="none" w:sz="0" w:space="0" w:color="auto"/>
        <w:right w:val="none" w:sz="0" w:space="0" w:color="auto"/>
      </w:divBdr>
    </w:div>
    <w:div w:id="2063358124">
      <w:bodyDiv w:val="1"/>
      <w:marLeft w:val="0"/>
      <w:marRight w:val="0"/>
      <w:marTop w:val="0"/>
      <w:marBottom w:val="0"/>
      <w:divBdr>
        <w:top w:val="none" w:sz="0" w:space="0" w:color="auto"/>
        <w:left w:val="none" w:sz="0" w:space="0" w:color="auto"/>
        <w:bottom w:val="none" w:sz="0" w:space="0" w:color="auto"/>
        <w:right w:val="none" w:sz="0" w:space="0" w:color="auto"/>
      </w:divBdr>
    </w:div>
    <w:div w:id="2081173443">
      <w:bodyDiv w:val="1"/>
      <w:marLeft w:val="0"/>
      <w:marRight w:val="0"/>
      <w:marTop w:val="0"/>
      <w:marBottom w:val="0"/>
      <w:divBdr>
        <w:top w:val="none" w:sz="0" w:space="0" w:color="auto"/>
        <w:left w:val="none" w:sz="0" w:space="0" w:color="auto"/>
        <w:bottom w:val="none" w:sz="0" w:space="0" w:color="auto"/>
        <w:right w:val="none" w:sz="0" w:space="0" w:color="auto"/>
      </w:divBdr>
    </w:div>
    <w:div w:id="21298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1764</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12</cp:revision>
  <dcterms:created xsi:type="dcterms:W3CDTF">2024-06-11T22:24:00Z</dcterms:created>
  <dcterms:modified xsi:type="dcterms:W3CDTF">2025-10-17T12:32:00Z</dcterms:modified>
</cp:coreProperties>
</file>